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12C09" w14:textId="5D2DCEF3"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1A669C">
        <w:rPr>
          <w:rFonts w:asciiTheme="majorHAnsi" w:hAnsiTheme="majorHAnsi" w:cstheme="majorHAnsi"/>
          <w:b/>
        </w:rPr>
        <w:t>#9</w:t>
      </w:r>
      <w:r w:rsidR="00135FB0">
        <w:rPr>
          <w:rFonts w:asciiTheme="majorHAnsi" w:hAnsiTheme="majorHAnsi" w:cstheme="majorHAnsi"/>
          <w:b/>
        </w:rPr>
        <w:t>2b</w:t>
      </w:r>
      <w:r w:rsidR="00EC01C0" w:rsidRPr="0073662B">
        <w:rPr>
          <w:rFonts w:asciiTheme="majorHAnsi" w:hAnsiTheme="majorHAnsi" w:cstheme="majorHAnsi"/>
          <w:b/>
        </w:rPr>
        <w:tab/>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eastAsia="MS Mincho" w:hAnsiTheme="majorHAnsi" w:cstheme="majorHAnsi"/>
          <w:b/>
        </w:rPr>
        <w:t xml:space="preserve">        </w:t>
      </w:r>
      <w:r w:rsidR="00EC01C0" w:rsidRPr="0073662B">
        <w:rPr>
          <w:rFonts w:asciiTheme="majorHAnsi" w:eastAsia="SimSun" w:hAnsiTheme="majorHAnsi" w:cstheme="majorHAnsi"/>
          <w:b/>
          <w:lang w:eastAsia="zh-CN"/>
        </w:rPr>
        <w:t xml:space="preserve">   </w:t>
      </w:r>
      <w:r w:rsidR="00EC01C0" w:rsidRPr="0073662B">
        <w:rPr>
          <w:rFonts w:asciiTheme="majorHAnsi" w:hAnsiTheme="majorHAnsi" w:cstheme="majorHAnsi"/>
          <w:b/>
        </w:rPr>
        <w:t xml:space="preserve">      </w:t>
      </w:r>
      <w:r w:rsidR="00EC01C0" w:rsidRPr="0073662B">
        <w:rPr>
          <w:rFonts w:asciiTheme="majorHAnsi" w:hAnsiTheme="majorHAnsi" w:cstheme="majorHAnsi"/>
          <w:b/>
        </w:rPr>
        <w:tab/>
      </w:r>
      <w:r w:rsidR="0097569D">
        <w:rPr>
          <w:rFonts w:asciiTheme="majorHAnsi" w:hAnsiTheme="majorHAnsi" w:cstheme="majorHAnsi"/>
          <w:b/>
        </w:rPr>
        <w:tab/>
      </w:r>
      <w:r w:rsidR="00135FB0">
        <w:rPr>
          <w:rFonts w:asciiTheme="majorHAnsi" w:hAnsiTheme="majorHAnsi" w:cstheme="majorHAnsi"/>
          <w:b/>
        </w:rPr>
        <w:tab/>
      </w:r>
      <w:r w:rsidR="00EC01C0" w:rsidRPr="0073662B">
        <w:rPr>
          <w:rFonts w:asciiTheme="majorHAnsi" w:hAnsiTheme="majorHAnsi" w:cstheme="majorHAnsi"/>
          <w:b/>
        </w:rPr>
        <w:t xml:space="preserve">        </w:t>
      </w:r>
      <w:r w:rsidR="00EC01C0" w:rsidRPr="00627A6C">
        <w:rPr>
          <w:rFonts w:asciiTheme="majorHAnsi" w:hAnsiTheme="majorHAnsi" w:cstheme="majorHAnsi"/>
          <w:b/>
        </w:rPr>
        <w:t xml:space="preserve"> </w:t>
      </w:r>
      <w:r w:rsidR="009226B0" w:rsidRPr="009226B0">
        <w:rPr>
          <w:rFonts w:asciiTheme="majorHAnsi" w:hAnsiTheme="majorHAnsi" w:cstheme="majorHAnsi"/>
          <w:b/>
        </w:rPr>
        <w:t>R1-1804469</w:t>
      </w:r>
    </w:p>
    <w:p w14:paraId="388324B2" w14:textId="0DB9B583" w:rsidR="00EC01C0" w:rsidRPr="00A81622" w:rsidRDefault="009226B0" w:rsidP="00EC01C0">
      <w:pPr>
        <w:rPr>
          <w:rFonts w:asciiTheme="majorHAnsi" w:eastAsia="MS Mincho" w:hAnsiTheme="majorHAnsi" w:cstheme="majorHAnsi"/>
          <w:b/>
          <w:bCs/>
          <w:sz w:val="28"/>
        </w:rPr>
      </w:pPr>
      <w:r>
        <w:rPr>
          <w:rFonts w:asciiTheme="majorHAnsi" w:hAnsiTheme="majorHAnsi" w:cstheme="majorHAnsi"/>
          <w:b/>
        </w:rPr>
        <w:t>Sanya, China, April 16</w:t>
      </w:r>
      <w:r>
        <w:rPr>
          <w:rFonts w:asciiTheme="majorHAnsi" w:hAnsiTheme="majorHAnsi" w:cstheme="majorHAnsi"/>
          <w:b/>
          <w:vertAlign w:val="superscript"/>
        </w:rPr>
        <w:t>th</w:t>
      </w:r>
      <w:r>
        <w:rPr>
          <w:rFonts w:asciiTheme="majorHAnsi" w:hAnsiTheme="majorHAnsi" w:cstheme="majorHAnsi"/>
          <w:b/>
        </w:rPr>
        <w:t>-20</w:t>
      </w:r>
      <w:r>
        <w:rPr>
          <w:rFonts w:asciiTheme="majorHAnsi" w:hAnsiTheme="majorHAnsi" w:cstheme="majorHAnsi"/>
          <w:b/>
          <w:vertAlign w:val="superscript"/>
        </w:rPr>
        <w:t>th</w:t>
      </w:r>
      <w:r>
        <w:rPr>
          <w:rFonts w:asciiTheme="majorHAnsi" w:hAnsiTheme="majorHAnsi" w:cstheme="majorHAnsi"/>
          <w:b/>
        </w:rPr>
        <w:t xml:space="preserve"> 2018</w:t>
      </w:r>
    </w:p>
    <w:p w14:paraId="1A2388D3" w14:textId="77777777" w:rsidR="000D7C4F" w:rsidRPr="00155C60" w:rsidRDefault="000D7C4F" w:rsidP="000D7C4F">
      <w:pPr>
        <w:pStyle w:val="En-tte"/>
        <w:spacing w:line="276" w:lineRule="auto"/>
        <w:rPr>
          <w:rFonts w:asciiTheme="majorHAnsi" w:hAnsiTheme="majorHAnsi" w:cstheme="majorHAnsi"/>
          <w:noProof w:val="0"/>
        </w:rPr>
      </w:pPr>
    </w:p>
    <w:p w14:paraId="6044B70E"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472F7AF6" w14:textId="2BB761D0"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859C9">
        <w:rPr>
          <w:rFonts w:asciiTheme="majorHAnsi" w:eastAsia="MS Gothic" w:hAnsiTheme="majorHAnsi" w:cstheme="majorHAnsi"/>
          <w:noProof w:val="0"/>
          <w:sz w:val="24"/>
        </w:rPr>
        <w:t>Remaining issues on</w:t>
      </w:r>
      <w:r w:rsidR="000628D8">
        <w:rPr>
          <w:rFonts w:asciiTheme="majorHAnsi" w:eastAsia="MS Gothic" w:hAnsiTheme="majorHAnsi" w:cstheme="majorHAnsi"/>
          <w:noProof w:val="0"/>
          <w:sz w:val="24"/>
        </w:rPr>
        <w:t xml:space="preserve"> </w:t>
      </w:r>
      <w:r w:rsidR="00581F68">
        <w:rPr>
          <w:rFonts w:asciiTheme="majorHAnsi" w:eastAsia="MS Gothic" w:hAnsiTheme="majorHAnsi" w:cstheme="majorHAnsi"/>
          <w:noProof w:val="0"/>
          <w:sz w:val="24"/>
        </w:rPr>
        <w:t xml:space="preserve">PTRS </w:t>
      </w:r>
    </w:p>
    <w:p w14:paraId="038D1845" w14:textId="39502B4F"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0628D8" w:rsidRPr="000628D8">
        <w:rPr>
          <w:rFonts w:asciiTheme="majorHAnsi" w:eastAsia="MS Gothic" w:hAnsiTheme="majorHAnsi" w:cstheme="majorHAnsi"/>
          <w:noProof w:val="0"/>
          <w:sz w:val="24"/>
        </w:rPr>
        <w:t>7.</w:t>
      </w:r>
      <w:r w:rsidR="004C7D06">
        <w:rPr>
          <w:rFonts w:asciiTheme="majorHAnsi" w:eastAsia="MS Gothic" w:hAnsiTheme="majorHAnsi" w:cstheme="majorHAnsi"/>
          <w:noProof w:val="0"/>
          <w:sz w:val="24"/>
        </w:rPr>
        <w:t>1.</w:t>
      </w:r>
      <w:r w:rsidR="000628D8" w:rsidRPr="000628D8">
        <w:rPr>
          <w:rFonts w:asciiTheme="majorHAnsi" w:eastAsia="MS Gothic" w:hAnsiTheme="majorHAnsi" w:cstheme="majorHAnsi"/>
          <w:noProof w:val="0"/>
          <w:sz w:val="24"/>
        </w:rPr>
        <w:t>2.3.4 - PT-RS</w:t>
      </w:r>
    </w:p>
    <w:p w14:paraId="56E8CDEE"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3C310C83" w14:textId="77777777" w:rsidR="00357F61" w:rsidRDefault="00DD4444" w:rsidP="00A81622">
      <w:pPr>
        <w:pStyle w:val="Titre1"/>
      </w:pPr>
      <w:r w:rsidRPr="00055E47">
        <w:t>Introduction</w:t>
      </w:r>
    </w:p>
    <w:p w14:paraId="40B9CA64" w14:textId="39B0643E" w:rsidR="00FE0106" w:rsidRPr="003E7943" w:rsidRDefault="00C308E8" w:rsidP="00FE0106">
      <w:pPr>
        <w:rPr>
          <w:rFonts w:eastAsia="MS Mincho"/>
        </w:rPr>
      </w:pPr>
      <w:r>
        <w:t>In</w:t>
      </w:r>
      <w:r w:rsidR="009A6136">
        <w:t xml:space="preserve"> RAN1</w:t>
      </w:r>
      <w:r w:rsidR="001A669C">
        <w:t xml:space="preserve"> </w:t>
      </w:r>
      <w:r w:rsidR="00434FEA">
        <w:t>#92</w:t>
      </w:r>
      <w:r w:rsidR="00272C97">
        <w:t xml:space="preserve"> </w:t>
      </w:r>
      <w:r w:rsidR="00FE0106">
        <w:t>meeting</w:t>
      </w:r>
      <w:r w:rsidR="002B4B53">
        <w:t xml:space="preserve"> </w:t>
      </w:r>
      <w:r w:rsidR="00B0743B">
        <w:fldChar w:fldCharType="begin"/>
      </w:r>
      <w:r w:rsidR="002B4B53">
        <w:instrText xml:space="preserve"> REF _Ref468983446 \r \h </w:instrText>
      </w:r>
      <w:r w:rsidR="00B0743B">
        <w:fldChar w:fldCharType="separate"/>
      </w:r>
      <w:r w:rsidR="00434FEA">
        <w:t>[1]</w:t>
      </w:r>
      <w:r w:rsidR="00B0743B">
        <w:fldChar w:fldCharType="end"/>
      </w:r>
      <w:r w:rsidR="00A81622">
        <w:t xml:space="preserve">, </w:t>
      </w:r>
      <w:r w:rsidR="009859C9">
        <w:t>the main aspects</w:t>
      </w:r>
      <w:r w:rsidR="004134A7">
        <w:t xml:space="preserve"> of PT-RS design were finalized</w:t>
      </w:r>
      <w:r w:rsidR="009859C9">
        <w:t xml:space="preserve">. </w:t>
      </w:r>
      <w:r w:rsidR="004134A7">
        <w:t xml:space="preserve">For DFTsOFDM, the current version of the Rel.15 specifications </w:t>
      </w:r>
      <w:r w:rsidR="00434FEA">
        <w:t xml:space="preserve">generally </w:t>
      </w:r>
      <w:r w:rsidR="004134A7">
        <w:t>reflect</w:t>
      </w:r>
      <w:r w:rsidR="004C7D06">
        <w:t>s</w:t>
      </w:r>
      <w:r w:rsidR="004134A7">
        <w:t xml:space="preserve"> the current decisions and only editorial corrections and/or clarifications remain.</w:t>
      </w:r>
    </w:p>
    <w:p w14:paraId="7345F4CC" w14:textId="3F02652E" w:rsidR="00581F68" w:rsidRDefault="002B4B53" w:rsidP="00357E6E">
      <w:r>
        <w:t xml:space="preserve">In this contribution, </w:t>
      </w:r>
      <w:r w:rsidR="00A55BDF">
        <w:t xml:space="preserve">we </w:t>
      </w:r>
      <w:r w:rsidR="002F4C25">
        <w:t xml:space="preserve">propose several </w:t>
      </w:r>
      <w:r w:rsidR="00434FEA">
        <w:t xml:space="preserve">corrections and </w:t>
      </w:r>
      <w:r w:rsidR="002F4C25">
        <w:t>clarifications</w:t>
      </w:r>
      <w:r w:rsidR="009859C9">
        <w:t xml:space="preserve"> for </w:t>
      </w:r>
      <w:r w:rsidR="00941DC8">
        <w:t xml:space="preserve">TS 38.211 </w:t>
      </w:r>
      <w:r w:rsidR="00941DC8">
        <w:fldChar w:fldCharType="begin"/>
      </w:r>
      <w:r w:rsidR="00941DC8">
        <w:instrText xml:space="preserve"> REF _Ref503286449 \r \h </w:instrText>
      </w:r>
      <w:r w:rsidR="00941DC8">
        <w:fldChar w:fldCharType="separate"/>
      </w:r>
      <w:r w:rsidR="00434FEA">
        <w:t>[3]</w:t>
      </w:r>
      <w:r w:rsidR="00941DC8">
        <w:fldChar w:fldCharType="end"/>
      </w:r>
      <w:r w:rsidR="00941DC8">
        <w:t xml:space="preserve"> </w:t>
      </w:r>
      <w:r w:rsidR="009859C9">
        <w:t xml:space="preserve">and </w:t>
      </w:r>
      <w:r w:rsidR="00A55BDF">
        <w:t xml:space="preserve">give our view on </w:t>
      </w:r>
      <w:r w:rsidR="001A669C">
        <w:t xml:space="preserve">some </w:t>
      </w:r>
      <w:r w:rsidR="00923ADC">
        <w:t xml:space="preserve">remaining issues </w:t>
      </w:r>
      <w:r w:rsidR="00C90059">
        <w:t>on PTRS</w:t>
      </w:r>
      <w:r w:rsidR="00C90059" w:rsidRPr="00C90059">
        <w:t xml:space="preserve"> </w:t>
      </w:r>
      <w:r w:rsidR="00C90059">
        <w:t>for DFTsOFDM.</w:t>
      </w:r>
    </w:p>
    <w:p w14:paraId="5DCD2587" w14:textId="77777777" w:rsidR="00A81622" w:rsidRDefault="00A81622" w:rsidP="00A81622">
      <w:pPr>
        <w:pBdr>
          <w:bottom w:val="single" w:sz="12" w:space="1" w:color="auto"/>
        </w:pBdr>
      </w:pPr>
    </w:p>
    <w:p w14:paraId="222589C8" w14:textId="77777777" w:rsidR="00EA0674" w:rsidRDefault="008D02CE" w:rsidP="00A81622">
      <w:pPr>
        <w:pStyle w:val="Titre1"/>
      </w:pPr>
      <w:r>
        <w:t>Discussion</w:t>
      </w:r>
    </w:p>
    <w:p w14:paraId="11E916B5" w14:textId="7DDE5361" w:rsidR="0001704B" w:rsidRDefault="008E3B8C" w:rsidP="003263AB">
      <w:pPr>
        <w:pStyle w:val="Titre2"/>
      </w:pPr>
      <w:r>
        <w:t>Mapping of PTRS sequence into a pi/2 BPSK PUSCH</w:t>
      </w:r>
      <w:r w:rsidR="00FB318A">
        <w:t xml:space="preserve"> for DFTsOFDM</w:t>
      </w:r>
    </w:p>
    <w:p w14:paraId="6170A1F5" w14:textId="3C81F567" w:rsidR="00941DC8" w:rsidRDefault="004134A7" w:rsidP="00941DC8">
      <w:r>
        <w:t>In the case of pi/2 BPSK PUSCH based on DFTsOFDM, in order to preserve the PAPR, PTRS insertion needs to observe a s</w:t>
      </w:r>
      <w:r w:rsidR="00366DA9">
        <w:t xml:space="preserve">trict constraint: after </w:t>
      </w:r>
      <w:r>
        <w:t>PTRS insertion, the block of symbols</w:t>
      </w:r>
      <w:r w:rsidR="0061702E">
        <w:t xml:space="preserve"> (PTRS + PUSCH)</w:t>
      </w:r>
      <w:r>
        <w:t xml:space="preserve"> fed into the DFT precoder </w:t>
      </w:r>
      <w:r w:rsidR="00FB318A">
        <w:t>must</w:t>
      </w:r>
      <w:r>
        <w:t xml:space="preserve"> be pi/2 BPSK. </w:t>
      </w:r>
      <w:r w:rsidR="00366DA9">
        <w:t xml:space="preserve">That is, the phase on top of </w:t>
      </w:r>
      <w:r w:rsidR="0061702E">
        <w:t>each</w:t>
      </w:r>
      <w:r w:rsidR="00366DA9">
        <w:t xml:space="preserve"> BPSK symbol has to be dependent on the mapping position of the symbol in the pre-DFT space</w:t>
      </w:r>
      <w:r w:rsidR="00F67E44">
        <w:t xml:space="preserve"> (indexed as </w:t>
      </w:r>
      <w:r w:rsidR="00F67E44" w:rsidRPr="00F67E44">
        <w:rPr>
          <w:i/>
        </w:rPr>
        <w:t>m</w:t>
      </w:r>
      <w:r w:rsidR="00F67E44">
        <w:t xml:space="preserve"> in the specifications)</w:t>
      </w:r>
      <w:r w:rsidR="00FB318A">
        <w:t>, and not on the index of the symbol within the PUSCH symbols, respectively within PTRS symbols</w:t>
      </w:r>
      <w:r w:rsidR="00F67E44">
        <w:t xml:space="preserve"> (indexed as </w:t>
      </w:r>
      <w:r w:rsidR="00F67E44" w:rsidRPr="00F67E44">
        <w:rPr>
          <w:i/>
        </w:rPr>
        <w:t>m</w:t>
      </w:r>
      <w:r w:rsidR="00F67E44">
        <w:t>’ in the specifications)</w:t>
      </w:r>
      <w:r w:rsidR="00FB318A">
        <w:t>.</w:t>
      </w:r>
    </w:p>
    <w:p w14:paraId="3D87F21A" w14:textId="1E244026" w:rsidR="00C845E8" w:rsidRDefault="00FB318A" w:rsidP="00FB318A">
      <w:r>
        <w:t xml:space="preserve">In section 6.4.1.2.1.2, this </w:t>
      </w:r>
      <w:r w:rsidR="00F67E44">
        <w:t>was</w:t>
      </w:r>
      <w:r>
        <w:t xml:space="preserve"> correctly reflected </w:t>
      </w:r>
      <w:r w:rsidR="00F67E44">
        <w:t xml:space="preserve">in the previous specification version </w:t>
      </w:r>
      <w:r w:rsidR="00F67E44">
        <w:fldChar w:fldCharType="begin"/>
      </w:r>
      <w:r w:rsidR="00F67E44">
        <w:instrText xml:space="preserve"> REF _Ref510645963 \r \h </w:instrText>
      </w:r>
      <w:r w:rsidR="00F67E44">
        <w:fldChar w:fldCharType="separate"/>
      </w:r>
      <w:r w:rsidR="00434FEA">
        <w:t>[4]</w:t>
      </w:r>
      <w:r w:rsidR="00F67E44">
        <w:fldChar w:fldCharType="end"/>
      </w:r>
      <w:r w:rsidR="00F67E44">
        <w:t xml:space="preserve"> </w:t>
      </w:r>
      <w:r w:rsidR="0061702E">
        <w:t xml:space="preserve">by the use of the mapping index </w:t>
      </w:r>
      <w:r w:rsidR="0061702E" w:rsidRPr="0061702E">
        <w:rPr>
          <w:i/>
        </w:rPr>
        <w:t>m</w:t>
      </w:r>
      <w:r w:rsidR="0061702E">
        <w:t xml:space="preserve"> (having a minimum value 0 and a maximum value </w:t>
      </w:r>
      <w:r w:rsidR="0061702E" w:rsidRPr="00514048">
        <w:rPr>
          <w:position w:val="-10"/>
        </w:rPr>
        <w:object w:dxaOrig="760" w:dyaOrig="340" w14:anchorId="10394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7.75pt" o:ole="">
            <v:imagedata r:id="rId8" o:title=""/>
          </v:shape>
          <o:OLEObject Type="Embed" ProgID="Equation.3" ShapeID="_x0000_i1025" DrawAspect="Content" ObjectID="_1584446090" r:id="rId9"/>
        </w:object>
      </w:r>
      <w:r w:rsidR="0061702E">
        <w:t xml:space="preserve">-1) to compute the phase, and of a different index </w:t>
      </w:r>
      <w:r w:rsidR="0061702E" w:rsidRPr="0061702E">
        <w:rPr>
          <w:i/>
        </w:rPr>
        <w:t>m</w:t>
      </w:r>
      <w:r w:rsidR="0061702E">
        <w:t xml:space="preserve">’ (ranging from 0 to </w:t>
      </w:r>
      <w:r w:rsidR="0061702E" w:rsidRPr="00031871">
        <w:rPr>
          <w:position w:val="-14"/>
        </w:rPr>
        <w:object w:dxaOrig="580" w:dyaOrig="380" w14:anchorId="147A0D6C">
          <v:shape id="_x0000_i1026" type="#_x0000_t75" style="width:29.55pt;height:18.8pt" o:ole="">
            <v:imagedata r:id="rId10" o:title=""/>
          </v:shape>
          <o:OLEObject Type="Embed" ProgID="Equation.3" ShapeID="_x0000_i1026" DrawAspect="Content" ObjectID="_1584446091" r:id="rId11"/>
        </w:object>
      </w:r>
      <w:r w:rsidR="0061702E" w:rsidRPr="00514048">
        <w:rPr>
          <w:position w:val="-14"/>
        </w:rPr>
        <w:object w:dxaOrig="600" w:dyaOrig="380" w14:anchorId="22EA586B">
          <v:shape id="_x0000_i1027" type="#_x0000_t75" style="width:30.1pt;height:18.8pt" o:ole="">
            <v:imagedata r:id="rId12" o:title=""/>
          </v:shape>
          <o:OLEObject Type="Embed" ProgID="Equation.3" ShapeID="_x0000_i1027" DrawAspect="Content" ObjectID="_1584446092" r:id="rId13"/>
        </w:object>
      </w:r>
      <w:r w:rsidR="00F67E44">
        <w:t xml:space="preserve">-1) to count the PTRS samples. </w:t>
      </w:r>
      <w:r w:rsidR="00C845E8">
        <w:t xml:space="preserve">For example, with </w:t>
      </w:r>
      <w:r w:rsidR="00C845E8" w:rsidRPr="00C845E8">
        <w:rPr>
          <w:i/>
        </w:rPr>
        <w:t>M</w:t>
      </w:r>
      <w:r w:rsidR="00C845E8">
        <w:t xml:space="preserve">=36 and the 4x4 PTRS sequence, the index </w:t>
      </w:r>
      <w:r w:rsidR="00C845E8" w:rsidRPr="00C845E8">
        <w:rPr>
          <w:i/>
        </w:rPr>
        <w:t>m</w:t>
      </w:r>
      <w:r w:rsidR="00C845E8">
        <w:t xml:space="preserve"> giving the mapping position of the symbol in the pre-DFT space is </w:t>
      </w:r>
      <w:r w:rsidR="00C845E8" w:rsidRPr="00C845E8">
        <w:rPr>
          <w:i/>
        </w:rPr>
        <w:t>m</w:t>
      </w:r>
      <w:r w:rsidR="00C845E8">
        <w:t>={</w:t>
      </w:r>
      <w:r w:rsidR="00C845E8" w:rsidRPr="00C845E8">
        <w:t xml:space="preserve"> 0</w:t>
      </w:r>
      <w:r w:rsidR="00C845E8">
        <w:t xml:space="preserve">, </w:t>
      </w:r>
      <w:r w:rsidR="00C845E8" w:rsidRPr="00C845E8">
        <w:t>1</w:t>
      </w:r>
      <w:r w:rsidR="00C845E8">
        <w:t xml:space="preserve">, </w:t>
      </w:r>
      <w:r w:rsidR="00C845E8" w:rsidRPr="00C845E8">
        <w:t>2</w:t>
      </w:r>
      <w:r w:rsidR="00C845E8">
        <w:t xml:space="preserve">, </w:t>
      </w:r>
      <w:r w:rsidR="00C845E8" w:rsidRPr="00C845E8">
        <w:t>3</w:t>
      </w:r>
      <w:r w:rsidR="00C845E8">
        <w:t xml:space="preserve">, </w:t>
      </w:r>
      <w:r w:rsidR="00C845E8" w:rsidRPr="00C845E8">
        <w:t>11</w:t>
      </w:r>
      <w:r w:rsidR="00C845E8">
        <w:t xml:space="preserve">, </w:t>
      </w:r>
      <w:r w:rsidR="00C845E8" w:rsidRPr="00C845E8">
        <w:t>12</w:t>
      </w:r>
      <w:r w:rsidR="00C845E8">
        <w:t xml:space="preserve">, </w:t>
      </w:r>
      <w:r w:rsidR="00C845E8" w:rsidRPr="00C845E8">
        <w:t>13</w:t>
      </w:r>
      <w:r w:rsidR="00C845E8">
        <w:t xml:space="preserve">, </w:t>
      </w:r>
      <w:r w:rsidR="00C845E8" w:rsidRPr="00C845E8">
        <w:t>14</w:t>
      </w:r>
      <w:r w:rsidR="00C845E8">
        <w:t xml:space="preserve">, </w:t>
      </w:r>
      <w:r w:rsidR="00C845E8" w:rsidRPr="00C845E8">
        <w:t>20</w:t>
      </w:r>
      <w:r w:rsidR="00C845E8">
        <w:t xml:space="preserve">, </w:t>
      </w:r>
      <w:r w:rsidR="00C845E8" w:rsidRPr="00C845E8">
        <w:t>21</w:t>
      </w:r>
      <w:r w:rsidR="00C845E8">
        <w:t xml:space="preserve">, </w:t>
      </w:r>
      <w:r w:rsidR="00C845E8" w:rsidRPr="00C845E8">
        <w:t>22</w:t>
      </w:r>
      <w:r w:rsidR="00C845E8">
        <w:t xml:space="preserve">, </w:t>
      </w:r>
      <w:r w:rsidR="00C845E8" w:rsidRPr="00C845E8">
        <w:t>23</w:t>
      </w:r>
      <w:r w:rsidR="00C845E8">
        <w:t xml:space="preserve">, </w:t>
      </w:r>
      <w:r w:rsidR="00C845E8" w:rsidRPr="00C845E8">
        <w:t>32</w:t>
      </w:r>
      <w:r w:rsidR="00C845E8">
        <w:t xml:space="preserve">, </w:t>
      </w:r>
      <w:r w:rsidR="00C845E8" w:rsidRPr="00C845E8">
        <w:t>33</w:t>
      </w:r>
      <w:r w:rsidR="00C845E8">
        <w:t xml:space="preserve">, </w:t>
      </w:r>
      <w:r w:rsidR="00C845E8" w:rsidRPr="00C845E8">
        <w:t>34</w:t>
      </w:r>
      <w:r w:rsidR="00C845E8">
        <w:t xml:space="preserve">, </w:t>
      </w:r>
      <w:r w:rsidR="00C845E8" w:rsidRPr="00C845E8">
        <w:t>35</w:t>
      </w:r>
      <w:r w:rsidR="00C845E8">
        <w:t xml:space="preserve">} while </w:t>
      </w:r>
      <w:r w:rsidR="00C845E8" w:rsidRPr="00C845E8">
        <w:rPr>
          <w:i/>
        </w:rPr>
        <w:t>m</w:t>
      </w:r>
      <w:r w:rsidR="00C845E8">
        <w:t>’={0, 1, 2, 3, 4, 5, 6, 7, 8, 9, 10, 11, 12, 13, 14, 15}. In positions corresponding to the 2</w:t>
      </w:r>
      <w:r w:rsidR="00C845E8" w:rsidRPr="00C845E8">
        <w:rPr>
          <w:vertAlign w:val="superscript"/>
        </w:rPr>
        <w:t>nd</w:t>
      </w:r>
      <w:r w:rsidR="00C845E8">
        <w:t xml:space="preserve"> PTRS chunk, </w:t>
      </w:r>
      <w:r w:rsidR="00C845E8" w:rsidRPr="00C845E8">
        <w:rPr>
          <w:i/>
        </w:rPr>
        <w:t>m</w:t>
      </w:r>
      <w:r w:rsidR="00C845E8">
        <w:t xml:space="preserve">’mod2 is different from </w:t>
      </w:r>
      <w:r w:rsidR="00C845E8" w:rsidRPr="00C845E8">
        <w:rPr>
          <w:i/>
        </w:rPr>
        <w:t>m</w:t>
      </w:r>
      <w:r w:rsidR="00C845E8">
        <w:t>mod2. The two indices are not interchangeable.</w:t>
      </w:r>
    </w:p>
    <w:p w14:paraId="71B999FB" w14:textId="5AD1AA1A" w:rsidR="00FB318A" w:rsidRDefault="00F67E44" w:rsidP="00FB318A">
      <w:r>
        <w:t xml:space="preserve">Nevertheless, at some point during the email exchanges index </w:t>
      </w:r>
      <w:r w:rsidRPr="00F67E44">
        <w:rPr>
          <w:i/>
        </w:rPr>
        <w:t>m</w:t>
      </w:r>
      <w:r>
        <w:t xml:space="preserve"> was replaced by </w:t>
      </w:r>
      <w:r w:rsidRPr="00F67E44">
        <w:rPr>
          <w:i/>
        </w:rPr>
        <w:t>m’</w:t>
      </w:r>
      <w:r>
        <w:t xml:space="preserve"> in the current specification version </w:t>
      </w:r>
      <w:r>
        <w:fldChar w:fldCharType="begin"/>
      </w:r>
      <w:r>
        <w:instrText xml:space="preserve"> REF _Ref510646059 \r \h </w:instrText>
      </w:r>
      <w:r>
        <w:fldChar w:fldCharType="separate"/>
      </w:r>
      <w:r w:rsidR="00434FEA">
        <w:t>[3]</w:t>
      </w:r>
      <w:r>
        <w:fldChar w:fldCharType="end"/>
      </w:r>
      <w:r w:rsidR="00C845E8">
        <w:t xml:space="preserve">. The current version is not inline with the text agreed in </w:t>
      </w:r>
      <w:r w:rsidR="00C845E8">
        <w:fldChar w:fldCharType="begin"/>
      </w:r>
      <w:r w:rsidR="00C845E8">
        <w:instrText xml:space="preserve"> REF _Ref510647121 \r \h </w:instrText>
      </w:r>
      <w:r w:rsidR="00C845E8">
        <w:fldChar w:fldCharType="separate"/>
      </w:r>
      <w:r w:rsidR="00434FEA">
        <w:t>[5]</w:t>
      </w:r>
      <w:r w:rsidR="00C845E8">
        <w:fldChar w:fldCharType="end"/>
      </w:r>
      <w:r w:rsidR="00C845E8">
        <w:t xml:space="preserve"> in the AdHoc January meeting </w:t>
      </w:r>
      <w:r w:rsidR="00C845E8">
        <w:fldChar w:fldCharType="begin"/>
      </w:r>
      <w:r w:rsidR="00C845E8">
        <w:instrText xml:space="preserve"> REF _Ref510647144 \r \h </w:instrText>
      </w:r>
      <w:r w:rsidR="00C845E8">
        <w:fldChar w:fldCharType="separate"/>
      </w:r>
      <w:r w:rsidR="00434FEA">
        <w:t>[2]</w:t>
      </w:r>
      <w:r w:rsidR="00C845E8">
        <w:fldChar w:fldCharType="end"/>
      </w:r>
      <w:r w:rsidR="00C845E8">
        <w:t xml:space="preserve">. </w:t>
      </w:r>
      <w:r w:rsidR="00933CD8">
        <w:t>We propose to roll back to the previous version, inline with the standing agreements:</w:t>
      </w:r>
    </w:p>
    <w:p w14:paraId="1AB63310" w14:textId="659EA667" w:rsidR="00933CD8" w:rsidRPr="00933CD8" w:rsidRDefault="00933CD8" w:rsidP="00FB318A">
      <w:pPr>
        <w:rPr>
          <w:b/>
        </w:rPr>
      </w:pPr>
      <w:r w:rsidRPr="00933CD8">
        <w:rPr>
          <w:b/>
        </w:rPr>
        <w:t xml:space="preserve">TP for </w:t>
      </w:r>
      <w:r>
        <w:rPr>
          <w:b/>
        </w:rPr>
        <w:t>clause</w:t>
      </w:r>
      <w:r w:rsidRPr="00933CD8">
        <w:rPr>
          <w:b/>
        </w:rPr>
        <w:t xml:space="preserve"> 6.4.1.2.1.2</w:t>
      </w:r>
    </w:p>
    <w:p w14:paraId="622E3BD7" w14:textId="13E7EB04" w:rsidR="00F67E44" w:rsidRPr="00F67E44" w:rsidRDefault="00F67E44" w:rsidP="00F67E44">
      <w:pPr>
        <w:ind w:left="720"/>
        <w:rPr>
          <w:i/>
        </w:rPr>
      </w:pPr>
      <w:r w:rsidRPr="00F67E44">
        <w:rPr>
          <w:i/>
        </w:rPr>
        <w:t xml:space="preserve">If transform precoding is enabled, the phase-tracking reference signal </w:t>
      </w:r>
      <w:r w:rsidRPr="00F67E44">
        <w:rPr>
          <w:i/>
          <w:position w:val="-10"/>
        </w:rPr>
        <w:object w:dxaOrig="600" w:dyaOrig="300" w14:anchorId="381F95D7">
          <v:shape id="_x0000_i1028" type="#_x0000_t75" style="width:30.1pt;height:15.05pt" o:ole="">
            <v:imagedata r:id="rId14" o:title=""/>
          </v:shape>
          <o:OLEObject Type="Embed" ProgID="Equation.3" ShapeID="_x0000_i1028" DrawAspect="Content" ObjectID="_1584446093" r:id="rId15"/>
        </w:object>
      </w:r>
      <w:r w:rsidRPr="00F67E44">
        <w:rPr>
          <w:i/>
        </w:rPr>
        <w:t xml:space="preserve"> to be mapped in position </w:t>
      </w:r>
      <w:r w:rsidRPr="00F67E44">
        <w:rPr>
          <w:i/>
          <w:position w:val="-6"/>
        </w:rPr>
        <w:object w:dxaOrig="220" w:dyaOrig="200" w14:anchorId="2EC420D0">
          <v:shape id="_x0000_i1029" type="#_x0000_t75" style="width:10.75pt;height:10.2pt" o:ole="">
            <v:imagedata r:id="rId16" o:title=""/>
          </v:shape>
          <o:OLEObject Type="Embed" ProgID="Equation.3" ShapeID="_x0000_i1029" DrawAspect="Content" ObjectID="_1584446094" r:id="rId17"/>
        </w:object>
      </w:r>
      <w:r w:rsidRPr="00F67E44">
        <w:rPr>
          <w:i/>
        </w:rPr>
        <w:t xml:space="preserve"> before transform precoding, where </w:t>
      </w:r>
      <w:r w:rsidRPr="00F67E44">
        <w:rPr>
          <w:i/>
          <w:position w:val="-6"/>
        </w:rPr>
        <w:object w:dxaOrig="220" w:dyaOrig="200" w14:anchorId="352B9EE2">
          <v:shape id="_x0000_i1030" type="#_x0000_t75" style="width:10.75pt;height:10.2pt" o:ole="">
            <v:imagedata r:id="rId16" o:title=""/>
          </v:shape>
          <o:OLEObject Type="Embed" ProgID="Equation.3" ShapeID="_x0000_i1030" DrawAspect="Content" ObjectID="_1584446095" r:id="rId18"/>
        </w:object>
      </w:r>
      <w:r w:rsidRPr="00F67E44">
        <w:rPr>
          <w:i/>
        </w:rPr>
        <w:t xml:space="preserve"> depends on the number of PT-RS groups </w:t>
      </w:r>
      <w:bookmarkStart w:id="0" w:name="_Hlk505167379"/>
      <w:r w:rsidRPr="00F67E44">
        <w:rPr>
          <w:i/>
          <w:position w:val="-14"/>
        </w:rPr>
        <w:object w:dxaOrig="600" w:dyaOrig="380" w14:anchorId="657B1D57">
          <v:shape id="_x0000_i1031" type="#_x0000_t75" style="width:30.1pt;height:18.8pt" o:ole="">
            <v:imagedata r:id="rId12" o:title=""/>
          </v:shape>
          <o:OLEObject Type="Embed" ProgID="Equation.3" ShapeID="_x0000_i1031" DrawAspect="Content" ObjectID="_1584446096" r:id="rId19"/>
        </w:object>
      </w:r>
      <w:bookmarkEnd w:id="0"/>
      <w:r w:rsidRPr="00F67E44">
        <w:rPr>
          <w:i/>
        </w:rPr>
        <w:t xml:space="preserve">, the number of samples per PT-RS group </w:t>
      </w:r>
      <w:r w:rsidRPr="00F67E44">
        <w:rPr>
          <w:i/>
          <w:position w:val="-14"/>
        </w:rPr>
        <w:object w:dxaOrig="580" w:dyaOrig="380" w14:anchorId="3F217942">
          <v:shape id="_x0000_i1032" type="#_x0000_t75" style="width:29pt;height:18.8pt" o:ole="">
            <v:imagedata r:id="rId10" o:title=""/>
          </v:shape>
          <o:OLEObject Type="Embed" ProgID="Equation.3" ShapeID="_x0000_i1032" DrawAspect="Content" ObjectID="_1584446097" r:id="rId20"/>
        </w:object>
      </w:r>
      <w:r w:rsidR="00450BF5">
        <w:rPr>
          <w:i/>
        </w:rPr>
        <w:t>, and</w:t>
      </w:r>
      <w:r w:rsidRPr="00F67E44">
        <w:rPr>
          <w:i/>
        </w:rPr>
        <w:t xml:space="preserve"> </w:t>
      </w:r>
      <w:r w:rsidRPr="00F67E44">
        <w:rPr>
          <w:i/>
          <w:position w:val="-10"/>
        </w:rPr>
        <w:object w:dxaOrig="760" w:dyaOrig="340" w14:anchorId="0235ACFA">
          <v:shape id="_x0000_i1033" type="#_x0000_t75" style="width:37.6pt;height:17.2pt" o:ole="">
            <v:imagedata r:id="rId8" o:title=""/>
          </v:shape>
          <o:OLEObject Type="Embed" ProgID="Equation.3" ShapeID="_x0000_i1033" DrawAspect="Content" ObjectID="_1584446098" r:id="rId21"/>
        </w:object>
      </w:r>
      <w:r w:rsidRPr="00F67E44">
        <w:rPr>
          <w:i/>
        </w:rPr>
        <w:t xml:space="preserve"> according to Table 6.4.1.2.2.2-1, shall be generated according to</w:t>
      </w:r>
    </w:p>
    <w:p w14:paraId="22BA963B" w14:textId="1AAC0D51" w:rsidR="00F67E44" w:rsidRPr="00F67E44" w:rsidRDefault="00F67E44" w:rsidP="00F67E44">
      <w:pPr>
        <w:pStyle w:val="EQ"/>
        <w:ind w:left="720"/>
        <w:jc w:val="center"/>
        <w:rPr>
          <w:i/>
        </w:rPr>
      </w:pPr>
      <w:r w:rsidRPr="00F67E44">
        <w:rPr>
          <w:i/>
          <w:position w:val="-92"/>
        </w:rPr>
        <w:object w:dxaOrig="4300" w:dyaOrig="1939" w14:anchorId="603997AF">
          <v:shape id="_x0000_i1034" type="#_x0000_t75" style="width:214.95pt;height:99.4pt" o:ole="">
            <v:imagedata r:id="rId22" o:title=""/>
          </v:shape>
          <o:OLEObject Type="Embed" ProgID="Equation.3" ShapeID="_x0000_i1034" DrawAspect="Content" ObjectID="_1584446099" r:id="rId23"/>
        </w:object>
      </w:r>
      <w:r w:rsidRPr="00F67E44">
        <w:rPr>
          <w:i/>
        </w:rPr>
        <w:t>.</w:t>
      </w:r>
    </w:p>
    <w:p w14:paraId="78553993" w14:textId="6B2207DC" w:rsidR="00FB318A" w:rsidRPr="00F67E44" w:rsidRDefault="00F67E44" w:rsidP="00F67E44">
      <w:pPr>
        <w:ind w:left="720"/>
        <w:rPr>
          <w:i/>
        </w:rPr>
      </w:pPr>
      <w:r w:rsidRPr="00F67E44">
        <w:rPr>
          <w:i/>
        </w:rPr>
        <w:t xml:space="preserve">where the pseudo-random sequence </w:t>
      </w:r>
      <w:r w:rsidRPr="00F67E44">
        <w:rPr>
          <w:i/>
          <w:position w:val="-10"/>
        </w:rPr>
        <w:object w:dxaOrig="360" w:dyaOrig="300" w14:anchorId="1C7CFC81">
          <v:shape id="_x0000_i1035" type="#_x0000_t75" style="width:18.25pt;height:15.05pt" o:ole="">
            <v:imagedata r:id="rId24" o:title=""/>
          </v:shape>
          <o:OLEObject Type="Embed" ProgID="Equation.3" ShapeID="_x0000_i1035" DrawAspect="Content" ObjectID="_1584446100" r:id="rId25"/>
        </w:object>
      </w:r>
      <w:r w:rsidRPr="00F67E44">
        <w:rPr>
          <w:i/>
        </w:rPr>
        <w:t xml:space="preserve"> is defined in clause 5.2.1 and </w:t>
      </w:r>
      <w:r w:rsidRPr="00F67E44">
        <w:rPr>
          <w:i/>
          <w:position w:val="-10"/>
        </w:rPr>
        <w:object w:dxaOrig="400" w:dyaOrig="300" w14:anchorId="01EFA8E0">
          <v:shape id="_x0000_i1036" type="#_x0000_t75" style="width:20.4pt;height:15.05pt" o:ole="">
            <v:imagedata r:id="rId26" o:title=""/>
          </v:shape>
          <o:OLEObject Type="Embed" ProgID="Equation.3" ShapeID="_x0000_i1036" DrawAspect="Content" ObjectID="_1584446101" r:id="rId27"/>
        </w:object>
      </w:r>
      <w:r w:rsidRPr="00F67E44">
        <w:rPr>
          <w:i/>
        </w:rPr>
        <w:t xml:space="preserve"> is given by Table 6.4.1.2.1.2-1.</w:t>
      </w:r>
    </w:p>
    <w:p w14:paraId="49F02AC1" w14:textId="77777777" w:rsidR="00986B13" w:rsidRPr="00986B13" w:rsidRDefault="00986B13" w:rsidP="00986B13"/>
    <w:p w14:paraId="35681D8F" w14:textId="2EF309A2" w:rsidR="0061702E" w:rsidRDefault="005D27D8" w:rsidP="00986B13">
      <w:pPr>
        <w:pStyle w:val="Titre2"/>
      </w:pPr>
      <w:r>
        <w:t>Thresholds in PTRS density tables</w:t>
      </w:r>
    </w:p>
    <w:p w14:paraId="29C482FB" w14:textId="576A7E5E" w:rsidR="00A07C42" w:rsidRDefault="00A07C42" w:rsidP="004852B7">
      <w:r w:rsidRPr="00A07C42">
        <w:t xml:space="preserve">For the </w:t>
      </w:r>
      <w:r>
        <w:t xml:space="preserve">PTRS density tables, sets of thresholds need to be configured by RRC. For DFTsOFDM for example, </w:t>
      </w:r>
      <w:r w:rsidR="00BB37BD">
        <w:t>Q=</w:t>
      </w:r>
      <w:r>
        <w:t>5 threshold values are needed (N</w:t>
      </w:r>
      <w:r w:rsidRPr="00A07C42">
        <w:rPr>
          <w:vertAlign w:val="subscript"/>
        </w:rPr>
        <w:t>RB0…4</w:t>
      </w:r>
      <w:r>
        <w:t>)</w:t>
      </w:r>
      <w:r w:rsidR="00BB37BD">
        <w:t>, each ranging from 1 to 276, so potentially needing up to 9 bits. Even though the number of needed bits per threshold may be reduced by using some uniform or non-uniform quantization, the resulting amount of bits will still be high if we want to guarantee good flexibility for the threshold choice. Although the RRC overhead is a RAN2 issue, the link between the set of thresholds and the parameter representative of the set should be described in the RAN1 specification, as it is the case in many similar situations such as, e.g.,  determining the exact relation between a given resource allocation and the RIV index representative of that allocation.</w:t>
      </w:r>
    </w:p>
    <w:p w14:paraId="376F9B17" w14:textId="56484566" w:rsidR="00210B39" w:rsidRDefault="00210B39" w:rsidP="004852B7">
      <w:r>
        <w:t xml:space="preserve">It is known that a set of </w:t>
      </w:r>
      <w:r w:rsidRPr="00210B39">
        <w:rPr>
          <w:i/>
        </w:rPr>
        <w:t>Q</w:t>
      </w:r>
      <w:r>
        <w:t xml:space="preserve"> thresholds in strictly increasing order </w:t>
      </w:r>
      <w:r w:rsidRPr="00210B39">
        <w:rPr>
          <w:position w:val="-12"/>
        </w:rPr>
        <w:object w:dxaOrig="2060" w:dyaOrig="320" w14:anchorId="6AF32EDF">
          <v:shape id="_x0000_i1037" type="#_x0000_t75" style="width:103.15pt;height:16.1pt" o:ole="">
            <v:imagedata r:id="rId28" o:title=""/>
          </v:shape>
          <o:OLEObject Type="Embed" ProgID="Equation.DSMT4" ShapeID="_x0000_i1037" DrawAspect="Content" ObjectID="_1584446102" r:id="rId29"/>
        </w:object>
      </w:r>
      <w:r>
        <w:t xml:space="preserve"> can be indicated through the combinatorial index </w:t>
      </w:r>
    </w:p>
    <w:p w14:paraId="4ACB826A" w14:textId="3F028391" w:rsidR="00210B39" w:rsidRDefault="00210B39" w:rsidP="00210B39">
      <w:pPr>
        <w:pStyle w:val="MTDisplayEquation"/>
      </w:pPr>
      <w:r>
        <w:tab/>
      </w:r>
      <w:r w:rsidRPr="00210B39">
        <w:rPr>
          <w:position w:val="-26"/>
        </w:rPr>
        <w:object w:dxaOrig="1300" w:dyaOrig="620" w14:anchorId="2FED7DBA">
          <v:shape id="_x0000_i1038" type="#_x0000_t75" style="width:65pt;height:31.15pt" o:ole="">
            <v:imagedata r:id="rId30" o:title=""/>
          </v:shape>
          <o:OLEObject Type="Embed" ProgID="Equation.DSMT4" ShapeID="_x0000_i1038" DrawAspect="Content" ObjectID="_1584446103" r:id="rId31"/>
        </w:object>
      </w:r>
      <w:r>
        <w:t xml:space="preserve"> with </w:t>
      </w:r>
      <w:r w:rsidRPr="00210B39">
        <w:rPr>
          <w:position w:val="-44"/>
        </w:rPr>
        <w:object w:dxaOrig="2640" w:dyaOrig="980" w14:anchorId="5E7E3182">
          <v:shape id="_x0000_i1039" type="#_x0000_t75" style="width:132.2pt;height:48.9pt" o:ole="">
            <v:imagedata r:id="rId32" o:title=""/>
          </v:shape>
          <o:OLEObject Type="Embed" ProgID="Equation.DSMT4" ShapeID="_x0000_i1039" DrawAspect="Content" ObjectID="_1584446104" r:id="rId33"/>
        </w:object>
      </w:r>
    </w:p>
    <w:p w14:paraId="2D9B3EFC" w14:textId="4CB7AE12" w:rsidR="00210B39" w:rsidRDefault="00210B39" w:rsidP="00210B39">
      <w:r>
        <w:t>In our case thresholds N</w:t>
      </w:r>
      <w:r w:rsidRPr="00210B39">
        <w:rPr>
          <w:vertAlign w:val="subscript"/>
        </w:rPr>
        <w:t>RBi</w:t>
      </w:r>
      <w:r>
        <w:t xml:space="preserve"> are increasing but not strictly increasing; all thresholds may be even equal. To adapt the above formula we should choose </w:t>
      </w:r>
      <w:r w:rsidRPr="00210B39">
        <w:rPr>
          <w:i/>
        </w:rPr>
        <w:t>s</w:t>
      </w:r>
      <w:r w:rsidRPr="00210B39">
        <w:rPr>
          <w:i/>
          <w:vertAlign w:val="subscript"/>
        </w:rPr>
        <w:t>i</w:t>
      </w:r>
      <w:r>
        <w:t>=</w:t>
      </w:r>
      <w:r w:rsidRPr="00210B39">
        <w:rPr>
          <w:i/>
        </w:rPr>
        <w:t>N</w:t>
      </w:r>
      <w:r w:rsidRPr="00210B39">
        <w:rPr>
          <w:vertAlign w:val="subscript"/>
        </w:rPr>
        <w:t>RBi</w:t>
      </w:r>
      <w:r>
        <w:t>+</w:t>
      </w:r>
      <w:r w:rsidRPr="00210B39">
        <w:rPr>
          <w:i/>
        </w:rPr>
        <w:t>i</w:t>
      </w:r>
      <w:r>
        <w:t xml:space="preserve"> , </w:t>
      </w:r>
      <w:r w:rsidR="00DB42DB" w:rsidRPr="00210B39">
        <w:rPr>
          <w:i/>
        </w:rPr>
        <w:t>N</w:t>
      </w:r>
      <w:r w:rsidR="00DB42DB">
        <w:t>=276+</w:t>
      </w:r>
      <w:r w:rsidR="00DB42DB" w:rsidRPr="00DB42DB">
        <w:rPr>
          <w:i/>
        </w:rPr>
        <w:t>Q</w:t>
      </w:r>
      <w:r w:rsidR="00DB42DB">
        <w:t xml:space="preserve"> and</w:t>
      </w:r>
      <w:r w:rsidR="00DB42DB">
        <w:t xml:space="preserve"> </w:t>
      </w:r>
      <w:r w:rsidRPr="00210B39">
        <w:rPr>
          <w:i/>
        </w:rPr>
        <w:t>Q</w:t>
      </w:r>
      <w:r>
        <w:t>=5 and if no other quantization is applied for DFTsOFDM. With quantization, different values for N depending on the quantization method can be chosen. Similar approach can be taken for CP-OFDM, for both MCS and bandwidth thresholds.</w:t>
      </w:r>
    </w:p>
    <w:p w14:paraId="4A8E2A02" w14:textId="184CD818" w:rsidR="00210B39" w:rsidRDefault="00210B39" w:rsidP="00210B39">
      <w:r w:rsidRPr="00210B39">
        <w:rPr>
          <w:b/>
        </w:rPr>
        <w:t>Proposal</w:t>
      </w:r>
      <w:r>
        <w:t xml:space="preserve">: </w:t>
      </w:r>
      <w:r w:rsidRPr="00210B39">
        <w:rPr>
          <w:i/>
        </w:rPr>
        <w:t xml:space="preserve">For PT-RS density tables, the thresholds should be reported based on </w:t>
      </w:r>
      <w:r w:rsidR="001C3BD5">
        <w:rPr>
          <w:i/>
        </w:rPr>
        <w:t>a</w:t>
      </w:r>
      <w:r w:rsidRPr="00210B39">
        <w:rPr>
          <w:i/>
        </w:rPr>
        <w:t xml:space="preserve"> combinatorial index</w:t>
      </w:r>
      <w:r>
        <w:t xml:space="preserve">. </w:t>
      </w:r>
    </w:p>
    <w:p w14:paraId="1EC4FF58" w14:textId="77777777" w:rsidR="005D27D8" w:rsidRDefault="005D27D8" w:rsidP="004852B7"/>
    <w:p w14:paraId="79D0FE31" w14:textId="31A54E05" w:rsidR="00891402" w:rsidRDefault="00891402" w:rsidP="00891402">
      <w:pPr>
        <w:pStyle w:val="Titre2"/>
      </w:pPr>
      <w:r>
        <w:t>Mapping to physical resources</w:t>
      </w:r>
    </w:p>
    <w:p w14:paraId="61B4960F" w14:textId="7B42CD2C" w:rsidR="00891402" w:rsidRDefault="00891402" w:rsidP="00941DC8">
      <w:r>
        <w:t>In section 6.4.1.2.</w:t>
      </w:r>
      <w:r w:rsidR="00336E5F">
        <w:t>2</w:t>
      </w:r>
      <w:r>
        <w:t xml:space="preserve">.2 of </w:t>
      </w:r>
      <w:r>
        <w:fldChar w:fldCharType="begin"/>
      </w:r>
      <w:r>
        <w:instrText xml:space="preserve"> REF _Ref503286449 \r \h </w:instrText>
      </w:r>
      <w:r>
        <w:fldChar w:fldCharType="separate"/>
      </w:r>
      <w:r w:rsidR="00434FEA">
        <w:t>[3]</w:t>
      </w:r>
      <w:r>
        <w:fldChar w:fldCharType="end"/>
      </w:r>
      <w:r>
        <w:t xml:space="preserve">, the following is specified </w:t>
      </w:r>
      <w:r w:rsidR="007A4B29">
        <w:t xml:space="preserve">for </w:t>
      </w:r>
      <w:r>
        <w:t xml:space="preserve">PT-RS mapping </w:t>
      </w:r>
      <w:r w:rsidRPr="00891402">
        <w:t>to physical resources if transform precoding is enabled</w:t>
      </w:r>
      <w:r>
        <w:t>:</w:t>
      </w:r>
    </w:p>
    <w:p w14:paraId="2A9A98CC" w14:textId="633D73C5" w:rsidR="00891402" w:rsidRPr="00891402" w:rsidRDefault="00891402" w:rsidP="00891402">
      <w:pPr>
        <w:ind w:left="720"/>
        <w:rPr>
          <w:i/>
        </w:rPr>
      </w:pPr>
      <w:r w:rsidRPr="00891402">
        <w:rPr>
          <w:i/>
        </w:rPr>
        <w:t>The UE shall transmit phase-tracking reference signals only in the resource blocks used for the PUSCH, and only if the procedure in [6, TS 38.214] indicates phase-tracking reference signals being used.</w:t>
      </w:r>
    </w:p>
    <w:p w14:paraId="39021350" w14:textId="775E0F95" w:rsidR="00941DC8" w:rsidRDefault="00891402" w:rsidP="00941DC8">
      <w:r>
        <w:t xml:space="preserve">But for DFTsOFDM mapping is being made in the pre-DFT domain and </w:t>
      </w:r>
      <w:r w:rsidR="00F20443">
        <w:t>the meaning of PT-RS transmission in a certain resource block is unclear. We propose the following:</w:t>
      </w:r>
      <w:r>
        <w:t xml:space="preserve"> </w:t>
      </w:r>
    </w:p>
    <w:p w14:paraId="3C404764" w14:textId="63498A4E" w:rsidR="00891402" w:rsidRPr="00F20443" w:rsidRDefault="00336E5F" w:rsidP="00941DC8">
      <w:pPr>
        <w:rPr>
          <w:b/>
        </w:rPr>
      </w:pPr>
      <w:r>
        <w:rPr>
          <w:b/>
        </w:rPr>
        <w:t xml:space="preserve">TP for clause </w:t>
      </w:r>
      <w:r w:rsidRPr="00336E5F">
        <w:rPr>
          <w:b/>
        </w:rPr>
        <w:t>6.4.1.2.</w:t>
      </w:r>
      <w:r>
        <w:rPr>
          <w:b/>
        </w:rPr>
        <w:t>2</w:t>
      </w:r>
      <w:r w:rsidRPr="00336E5F">
        <w:rPr>
          <w:b/>
        </w:rPr>
        <w:t>.2</w:t>
      </w:r>
      <w:r w:rsidR="00F20443" w:rsidRPr="00F20443">
        <w:rPr>
          <w:b/>
        </w:rPr>
        <w:t>:</w:t>
      </w:r>
    </w:p>
    <w:p w14:paraId="08FF9C86" w14:textId="003D0715" w:rsidR="00891402" w:rsidRPr="00F20443" w:rsidRDefault="00F20443" w:rsidP="00941DC8">
      <w:pPr>
        <w:rPr>
          <w:i/>
        </w:rPr>
      </w:pPr>
      <w:r w:rsidRPr="00F20443">
        <w:rPr>
          <w:i/>
        </w:rPr>
        <w:t xml:space="preserve">The UE shall transmit phase-tracking reference signals </w:t>
      </w:r>
      <w:r w:rsidRPr="00F20443">
        <w:rPr>
          <w:i/>
          <w:color w:val="FF0000"/>
        </w:rPr>
        <w:t xml:space="preserve">only in ODFM symbols </w:t>
      </w:r>
      <w:r w:rsidRPr="00F20443">
        <w:rPr>
          <w:i/>
        </w:rPr>
        <w:t>used for the PUSCH, and only if the procedure in [6, TS 38.214] indicates phase-tracking reference signals being used.</w:t>
      </w:r>
    </w:p>
    <w:p w14:paraId="27C2E840" w14:textId="425DF673" w:rsidR="00533B68" w:rsidRDefault="005B1B0C" w:rsidP="004E35B8">
      <w:pPr>
        <w:pStyle w:val="Titre2"/>
      </w:pPr>
      <w:r>
        <w:lastRenderedPageBreak/>
        <w:t xml:space="preserve">Discussion </w:t>
      </w:r>
      <w:r w:rsidR="00A07C42">
        <w:t xml:space="preserve">on </w:t>
      </w:r>
      <w:r w:rsidR="00336E5F">
        <w:t>simultaneous use of PTRS and TD-OCC</w:t>
      </w:r>
    </w:p>
    <w:p w14:paraId="7ED0B70A" w14:textId="16B8BF6D" w:rsidR="00882E02" w:rsidRDefault="00197BFC" w:rsidP="00336E5F">
      <w:pPr>
        <w:rPr>
          <w:lang w:eastAsia="x-none"/>
        </w:rPr>
      </w:pPr>
      <w:r>
        <w:rPr>
          <w:lang w:eastAsia="x-none"/>
        </w:rPr>
        <w:t xml:space="preserve">In RAN1#90b </w:t>
      </w:r>
      <w:r>
        <w:rPr>
          <w:lang w:eastAsia="x-none"/>
        </w:rPr>
        <w:fldChar w:fldCharType="begin"/>
      </w:r>
      <w:r>
        <w:rPr>
          <w:lang w:eastAsia="x-none"/>
        </w:rPr>
        <w:instrText xml:space="preserve"> REF _Ref510648878 \r \h </w:instrText>
      </w:r>
      <w:r>
        <w:rPr>
          <w:lang w:eastAsia="x-none"/>
        </w:rPr>
      </w:r>
      <w:r>
        <w:rPr>
          <w:lang w:eastAsia="x-none"/>
        </w:rPr>
        <w:fldChar w:fldCharType="separate"/>
      </w:r>
      <w:r w:rsidR="00434FEA">
        <w:rPr>
          <w:lang w:eastAsia="x-none"/>
        </w:rPr>
        <w:t>[7]</w:t>
      </w:r>
      <w:r>
        <w:rPr>
          <w:lang w:eastAsia="x-none"/>
        </w:rPr>
        <w:fldChar w:fldCharType="end"/>
      </w:r>
      <w:r>
        <w:rPr>
          <w:lang w:eastAsia="x-none"/>
        </w:rPr>
        <w:t xml:space="preserve"> it was agreed that </w:t>
      </w:r>
      <w:r w:rsidRPr="00197BFC">
        <w:rPr>
          <w:i/>
          <w:lang w:eastAsia="x-none"/>
        </w:rPr>
        <w:t>UE is not expected to be configured/scheduled with DMRS with TD-OCC and PTRS in the same slot in case of above 6 GHz</w:t>
      </w:r>
      <w:r>
        <w:rPr>
          <w:i/>
          <w:lang w:eastAsia="x-none"/>
        </w:rPr>
        <w:t xml:space="preserve">. </w:t>
      </w:r>
      <w:r w:rsidR="00882E02">
        <w:rPr>
          <w:lang w:eastAsia="x-none"/>
        </w:rPr>
        <w:t xml:space="preserve">The intention was that, in the presence of strong phase noise, the channel variations from one OFDM symbol to the next one are considered strong enough to break the orthogonality of the OCC, and therefore configuration of DMRS with TD-OCC should be forbidden in this case. </w:t>
      </w:r>
      <w:r w:rsidR="0085621C">
        <w:rPr>
          <w:lang w:eastAsia="x-none"/>
        </w:rPr>
        <w:t>The consequence is that in FR2, when PTRS is enabled, the maximum number of DMRS ports that can be configured (and thus the maximum number of layers that can be</w:t>
      </w:r>
      <w:r w:rsidR="00434FEA">
        <w:rPr>
          <w:lang w:eastAsia="x-none"/>
        </w:rPr>
        <w:t xml:space="preserve"> transmitted) is divided by two, which has important consequences on the maximum throughput.</w:t>
      </w:r>
    </w:p>
    <w:p w14:paraId="36950B28" w14:textId="4C00B4D0" w:rsidR="00197BFC" w:rsidRPr="00882E02" w:rsidRDefault="00882E02" w:rsidP="00392CB1">
      <w:pPr>
        <w:rPr>
          <w:lang w:eastAsia="x-none"/>
        </w:rPr>
      </w:pPr>
      <w:r>
        <w:rPr>
          <w:lang w:eastAsia="x-none"/>
        </w:rPr>
        <w:t>Nevertheless, the fact that the original assumption behind this decision may not always be true was overlooked. More specifically, in many cases the phase variations from one symbol to the next one may not be that important, and this is typically the case when the</w:t>
      </w:r>
      <w:r w:rsidRPr="00882E02">
        <w:rPr>
          <w:lang w:eastAsia="x-none"/>
        </w:rPr>
        <w:t xml:space="preserve"> PTRS time density is lower than 1</w:t>
      </w:r>
      <w:r>
        <w:rPr>
          <w:lang w:eastAsia="x-none"/>
        </w:rPr>
        <w:t>, that is L</w:t>
      </w:r>
      <w:r w:rsidRPr="00882E02">
        <w:rPr>
          <w:vertAlign w:val="subscript"/>
          <w:lang w:eastAsia="x-none"/>
        </w:rPr>
        <w:t>PTRS</w:t>
      </w:r>
      <w:r>
        <w:rPr>
          <w:lang w:eastAsia="x-none"/>
        </w:rPr>
        <w:t xml:space="preserve">={2, 4}. In those cases, </w:t>
      </w:r>
      <w:r w:rsidR="00434FEA">
        <w:rPr>
          <w:lang w:eastAsia="x-none"/>
        </w:rPr>
        <w:t xml:space="preserve">the throughput penalty brought by forbidding simultaneous PTRS and DMRS with TD-OCC configuration is not justified. </w:t>
      </w:r>
      <w:r w:rsidR="00392CB1">
        <w:rPr>
          <w:lang w:eastAsia="x-none"/>
        </w:rPr>
        <w:t>Performance evaluation of the impact</w:t>
      </w:r>
      <w:r w:rsidR="00392CB1">
        <w:rPr>
          <w:lang w:eastAsia="x-none"/>
        </w:rPr>
        <w:t xml:space="preserve"> </w:t>
      </w:r>
      <w:r w:rsidR="00392CB1">
        <w:rPr>
          <w:lang w:eastAsia="x-none"/>
        </w:rPr>
        <w:t>of phase noise on the performance of TD-OCC can be performed to confirm the observation. A variety of channel and phase noise models should be included in the evaluation.</w:t>
      </w:r>
    </w:p>
    <w:p w14:paraId="661F257D" w14:textId="61275B32" w:rsidR="006B46B7" w:rsidRDefault="00434FEA" w:rsidP="004E35B8">
      <w:pPr>
        <w:rPr>
          <w:lang w:eastAsia="x-none"/>
        </w:rPr>
      </w:pPr>
      <w:r w:rsidRPr="00434FEA">
        <w:rPr>
          <w:b/>
          <w:lang w:eastAsia="x-none"/>
        </w:rPr>
        <w:t>Observation</w:t>
      </w:r>
      <w:r>
        <w:rPr>
          <w:lang w:eastAsia="x-none"/>
        </w:rPr>
        <w:t xml:space="preserve">: </w:t>
      </w:r>
      <w:r w:rsidRPr="00434FEA">
        <w:rPr>
          <w:i/>
          <w:lang w:eastAsia="x-none"/>
        </w:rPr>
        <w:t>Forbidding simultaneous PTRS and DMRS with TD-OCC configuration is not justified for L</w:t>
      </w:r>
      <w:r w:rsidRPr="00434FEA">
        <w:rPr>
          <w:i/>
          <w:vertAlign w:val="subscript"/>
          <w:lang w:eastAsia="x-none"/>
        </w:rPr>
        <w:t>PTRS</w:t>
      </w:r>
      <w:r w:rsidRPr="00434FEA">
        <w:rPr>
          <w:i/>
          <w:lang w:eastAsia="x-none"/>
        </w:rPr>
        <w:t>={2, 4} and should be limited to L</w:t>
      </w:r>
      <w:r w:rsidRPr="00434FEA">
        <w:rPr>
          <w:i/>
          <w:vertAlign w:val="subscript"/>
          <w:lang w:eastAsia="x-none"/>
        </w:rPr>
        <w:t>PTRS</w:t>
      </w:r>
      <w:r w:rsidRPr="00434FEA">
        <w:rPr>
          <w:i/>
          <w:lang w:eastAsia="x-none"/>
        </w:rPr>
        <w:t>=1</w:t>
      </w:r>
      <w:r>
        <w:rPr>
          <w:lang w:eastAsia="x-none"/>
        </w:rPr>
        <w:t>.</w:t>
      </w:r>
    </w:p>
    <w:p w14:paraId="3BB33982" w14:textId="77777777" w:rsidR="0001704B" w:rsidRDefault="0001704B" w:rsidP="0001704B">
      <w:pPr>
        <w:pBdr>
          <w:bottom w:val="single" w:sz="12" w:space="1" w:color="auto"/>
        </w:pBdr>
      </w:pPr>
    </w:p>
    <w:p w14:paraId="65B20678" w14:textId="77777777" w:rsidR="00C42741" w:rsidRDefault="00C42741" w:rsidP="00A81622">
      <w:pPr>
        <w:pStyle w:val="Titre1"/>
      </w:pPr>
      <w:r w:rsidRPr="00EB4099">
        <w:t>Conclusion</w:t>
      </w:r>
      <w:r w:rsidR="00DA069F" w:rsidRPr="00EB4099">
        <w:t xml:space="preserve"> </w:t>
      </w:r>
    </w:p>
    <w:p w14:paraId="0EC77597" w14:textId="5217719C" w:rsidR="00C023FC" w:rsidRPr="00C023FC" w:rsidRDefault="00C023FC" w:rsidP="00C023FC">
      <w:r>
        <w:t>We propose the following:</w:t>
      </w:r>
    </w:p>
    <w:p w14:paraId="2EA9C039" w14:textId="61267A05" w:rsidR="001C3BD5" w:rsidRPr="00933CD8" w:rsidRDefault="001C3BD5" w:rsidP="001C3BD5">
      <w:pPr>
        <w:rPr>
          <w:b/>
        </w:rPr>
      </w:pPr>
      <w:r w:rsidRPr="00933CD8">
        <w:rPr>
          <w:b/>
        </w:rPr>
        <w:t xml:space="preserve">TP for </w:t>
      </w:r>
      <w:r>
        <w:rPr>
          <w:b/>
        </w:rPr>
        <w:t>clause</w:t>
      </w:r>
      <w:r w:rsidRPr="00933CD8">
        <w:rPr>
          <w:b/>
        </w:rPr>
        <w:t xml:space="preserve"> 6.4.1.2.1.2</w:t>
      </w:r>
      <w:r>
        <w:rPr>
          <w:b/>
        </w:rPr>
        <w:t xml:space="preserve"> </w:t>
      </w:r>
      <w:r w:rsidRPr="001C3BD5">
        <w:t>(roll-back to the previous text)</w:t>
      </w:r>
    </w:p>
    <w:p w14:paraId="41402179" w14:textId="77777777" w:rsidR="001C3BD5" w:rsidRPr="00F67E44" w:rsidRDefault="001C3BD5" w:rsidP="001C3BD5">
      <w:pPr>
        <w:ind w:left="720"/>
        <w:rPr>
          <w:i/>
        </w:rPr>
      </w:pPr>
      <w:r w:rsidRPr="00F67E44">
        <w:rPr>
          <w:i/>
        </w:rPr>
        <w:t xml:space="preserve">If transform precoding is enabled, the phase-tracking reference signal </w:t>
      </w:r>
      <w:r w:rsidRPr="00F67E44">
        <w:rPr>
          <w:i/>
          <w:position w:val="-10"/>
        </w:rPr>
        <w:object w:dxaOrig="600" w:dyaOrig="300" w14:anchorId="006B2207">
          <v:shape id="_x0000_i1040" type="#_x0000_t75" style="width:30.1pt;height:15.05pt" o:ole="">
            <v:imagedata r:id="rId14" o:title=""/>
          </v:shape>
          <o:OLEObject Type="Embed" ProgID="Equation.3" ShapeID="_x0000_i1040" DrawAspect="Content" ObjectID="_1584446105" r:id="rId34"/>
        </w:object>
      </w:r>
      <w:r w:rsidRPr="00F67E44">
        <w:rPr>
          <w:i/>
        </w:rPr>
        <w:t xml:space="preserve"> to be mapped in position </w:t>
      </w:r>
      <w:r w:rsidRPr="00F67E44">
        <w:rPr>
          <w:i/>
          <w:position w:val="-6"/>
        </w:rPr>
        <w:object w:dxaOrig="220" w:dyaOrig="200" w14:anchorId="29051334">
          <v:shape id="_x0000_i1041" type="#_x0000_t75" style="width:10.75pt;height:10.2pt" o:ole="">
            <v:imagedata r:id="rId16" o:title=""/>
          </v:shape>
          <o:OLEObject Type="Embed" ProgID="Equation.3" ShapeID="_x0000_i1041" DrawAspect="Content" ObjectID="_1584446106" r:id="rId35"/>
        </w:object>
      </w:r>
      <w:r w:rsidRPr="00F67E44">
        <w:rPr>
          <w:i/>
        </w:rPr>
        <w:t xml:space="preserve"> before transform precoding, where </w:t>
      </w:r>
      <w:r w:rsidRPr="00F67E44">
        <w:rPr>
          <w:i/>
          <w:position w:val="-6"/>
        </w:rPr>
        <w:object w:dxaOrig="220" w:dyaOrig="200" w14:anchorId="42BE6F42">
          <v:shape id="_x0000_i1042" type="#_x0000_t75" style="width:10.75pt;height:10.2pt" o:ole="">
            <v:imagedata r:id="rId16" o:title=""/>
          </v:shape>
          <o:OLEObject Type="Embed" ProgID="Equation.3" ShapeID="_x0000_i1042" DrawAspect="Content" ObjectID="_1584446107" r:id="rId36"/>
        </w:object>
      </w:r>
      <w:r w:rsidRPr="00F67E44">
        <w:rPr>
          <w:i/>
        </w:rPr>
        <w:t xml:space="preserve"> depends on the number of PT-RS groups </w:t>
      </w:r>
      <w:r w:rsidRPr="00F67E44">
        <w:rPr>
          <w:i/>
          <w:position w:val="-14"/>
        </w:rPr>
        <w:object w:dxaOrig="600" w:dyaOrig="380" w14:anchorId="1EBF1341">
          <v:shape id="_x0000_i1043" type="#_x0000_t75" style="width:30.1pt;height:18.8pt" o:ole="">
            <v:imagedata r:id="rId12" o:title=""/>
          </v:shape>
          <o:OLEObject Type="Embed" ProgID="Equation.3" ShapeID="_x0000_i1043" DrawAspect="Content" ObjectID="_1584446108" r:id="rId37"/>
        </w:object>
      </w:r>
      <w:r w:rsidRPr="00F67E44">
        <w:rPr>
          <w:i/>
        </w:rPr>
        <w:t xml:space="preserve">, the number of samples per PT-RS group </w:t>
      </w:r>
      <w:r w:rsidRPr="00F67E44">
        <w:rPr>
          <w:i/>
          <w:position w:val="-14"/>
        </w:rPr>
        <w:object w:dxaOrig="580" w:dyaOrig="380" w14:anchorId="23525F5C">
          <v:shape id="_x0000_i1044" type="#_x0000_t75" style="width:29pt;height:18.8pt" o:ole="">
            <v:imagedata r:id="rId10" o:title=""/>
          </v:shape>
          <o:OLEObject Type="Embed" ProgID="Equation.3" ShapeID="_x0000_i1044" DrawAspect="Content" ObjectID="_1584446109" r:id="rId38"/>
        </w:object>
      </w:r>
      <w:r>
        <w:rPr>
          <w:i/>
        </w:rPr>
        <w:t>, and</w:t>
      </w:r>
      <w:r w:rsidRPr="00F67E44">
        <w:rPr>
          <w:i/>
        </w:rPr>
        <w:t xml:space="preserve"> </w:t>
      </w:r>
      <w:r w:rsidRPr="00F67E44">
        <w:rPr>
          <w:i/>
          <w:position w:val="-10"/>
        </w:rPr>
        <w:object w:dxaOrig="760" w:dyaOrig="340" w14:anchorId="2A210F7C">
          <v:shape id="_x0000_i1045" type="#_x0000_t75" style="width:37.6pt;height:17.2pt" o:ole="">
            <v:imagedata r:id="rId8" o:title=""/>
          </v:shape>
          <o:OLEObject Type="Embed" ProgID="Equation.3" ShapeID="_x0000_i1045" DrawAspect="Content" ObjectID="_1584446110" r:id="rId39"/>
        </w:object>
      </w:r>
      <w:r w:rsidRPr="00F67E44">
        <w:rPr>
          <w:i/>
        </w:rPr>
        <w:t xml:space="preserve"> according to Table 6.4.1.2.2.2-1, shall be generated according to</w:t>
      </w:r>
    </w:p>
    <w:p w14:paraId="545105D5" w14:textId="77777777" w:rsidR="001C3BD5" w:rsidRPr="00F67E44" w:rsidRDefault="001C3BD5" w:rsidP="001C3BD5">
      <w:pPr>
        <w:pStyle w:val="EQ"/>
        <w:ind w:left="720"/>
        <w:jc w:val="center"/>
        <w:rPr>
          <w:i/>
        </w:rPr>
      </w:pPr>
      <w:r w:rsidRPr="00F67E44">
        <w:rPr>
          <w:i/>
          <w:position w:val="-92"/>
        </w:rPr>
        <w:object w:dxaOrig="4300" w:dyaOrig="1939" w14:anchorId="515BD153">
          <v:shape id="_x0000_i1046" type="#_x0000_t75" style="width:214.95pt;height:99.4pt" o:ole="">
            <v:imagedata r:id="rId22" o:title=""/>
          </v:shape>
          <o:OLEObject Type="Embed" ProgID="Equation.3" ShapeID="_x0000_i1046" DrawAspect="Content" ObjectID="_1584446111" r:id="rId40"/>
        </w:object>
      </w:r>
      <w:r w:rsidRPr="00F67E44">
        <w:rPr>
          <w:i/>
        </w:rPr>
        <w:t>.</w:t>
      </w:r>
    </w:p>
    <w:p w14:paraId="4359A547" w14:textId="77777777" w:rsidR="001C3BD5" w:rsidRPr="00F67E44" w:rsidRDefault="001C3BD5" w:rsidP="001C3BD5">
      <w:pPr>
        <w:ind w:left="720"/>
        <w:rPr>
          <w:i/>
        </w:rPr>
      </w:pPr>
      <w:r w:rsidRPr="00F67E44">
        <w:rPr>
          <w:i/>
        </w:rPr>
        <w:t xml:space="preserve">where the pseudo-random sequence </w:t>
      </w:r>
      <w:r w:rsidRPr="00F67E44">
        <w:rPr>
          <w:i/>
          <w:position w:val="-10"/>
        </w:rPr>
        <w:object w:dxaOrig="360" w:dyaOrig="300" w14:anchorId="4A7A4FB8">
          <v:shape id="_x0000_i1047" type="#_x0000_t75" style="width:18.25pt;height:15.05pt" o:ole="">
            <v:imagedata r:id="rId24" o:title=""/>
          </v:shape>
          <o:OLEObject Type="Embed" ProgID="Equation.3" ShapeID="_x0000_i1047" DrawAspect="Content" ObjectID="_1584446112" r:id="rId41"/>
        </w:object>
      </w:r>
      <w:r w:rsidRPr="00F67E44">
        <w:rPr>
          <w:i/>
        </w:rPr>
        <w:t xml:space="preserve"> is defined in clause 5.2.1 and </w:t>
      </w:r>
      <w:r w:rsidRPr="00F67E44">
        <w:rPr>
          <w:i/>
          <w:position w:val="-10"/>
        </w:rPr>
        <w:object w:dxaOrig="400" w:dyaOrig="300" w14:anchorId="51511544">
          <v:shape id="_x0000_i1048" type="#_x0000_t75" style="width:20.4pt;height:15.05pt" o:ole="">
            <v:imagedata r:id="rId26" o:title=""/>
          </v:shape>
          <o:OLEObject Type="Embed" ProgID="Equation.3" ShapeID="_x0000_i1048" DrawAspect="Content" ObjectID="_1584446113" r:id="rId42"/>
        </w:object>
      </w:r>
      <w:r w:rsidRPr="00F67E44">
        <w:rPr>
          <w:i/>
        </w:rPr>
        <w:t xml:space="preserve"> is given by Table 6.4.1.2.1.2-1.</w:t>
      </w:r>
    </w:p>
    <w:p w14:paraId="2B5BE374" w14:textId="77777777" w:rsidR="001C3BD5" w:rsidRDefault="001C3BD5" w:rsidP="001C3BD5">
      <w:r w:rsidRPr="00210B39">
        <w:rPr>
          <w:b/>
        </w:rPr>
        <w:t>Proposal</w:t>
      </w:r>
      <w:r>
        <w:t xml:space="preserve">: </w:t>
      </w:r>
      <w:r w:rsidRPr="00210B39">
        <w:rPr>
          <w:i/>
        </w:rPr>
        <w:t xml:space="preserve">For PT-RS density tables, the thresholds should be reported based on </w:t>
      </w:r>
      <w:r>
        <w:rPr>
          <w:i/>
        </w:rPr>
        <w:t>a</w:t>
      </w:r>
      <w:r w:rsidRPr="00210B39">
        <w:rPr>
          <w:i/>
        </w:rPr>
        <w:t xml:space="preserve"> combinatorial index</w:t>
      </w:r>
      <w:r>
        <w:t xml:space="preserve">. </w:t>
      </w:r>
    </w:p>
    <w:p w14:paraId="580312D5" w14:textId="77777777" w:rsidR="001C3BD5" w:rsidRPr="00F20443" w:rsidRDefault="001C3BD5" w:rsidP="001C3BD5">
      <w:pPr>
        <w:rPr>
          <w:b/>
        </w:rPr>
      </w:pPr>
      <w:r>
        <w:rPr>
          <w:b/>
        </w:rPr>
        <w:t xml:space="preserve">TP for clause </w:t>
      </w:r>
      <w:r w:rsidRPr="00336E5F">
        <w:rPr>
          <w:b/>
        </w:rPr>
        <w:t>6.4.1.2.</w:t>
      </w:r>
      <w:r>
        <w:rPr>
          <w:b/>
        </w:rPr>
        <w:t>2</w:t>
      </w:r>
      <w:r w:rsidRPr="00336E5F">
        <w:rPr>
          <w:b/>
        </w:rPr>
        <w:t>.2</w:t>
      </w:r>
      <w:r w:rsidRPr="00F20443">
        <w:rPr>
          <w:b/>
        </w:rPr>
        <w:t>:</w:t>
      </w:r>
    </w:p>
    <w:p w14:paraId="08F66D6B" w14:textId="77777777" w:rsidR="001C3BD5" w:rsidRPr="00F20443" w:rsidRDefault="001C3BD5" w:rsidP="001C3BD5">
      <w:pPr>
        <w:rPr>
          <w:i/>
        </w:rPr>
      </w:pPr>
      <w:r w:rsidRPr="00F20443">
        <w:rPr>
          <w:i/>
        </w:rPr>
        <w:t xml:space="preserve">The UE shall transmit phase-tracking reference signals </w:t>
      </w:r>
      <w:r w:rsidRPr="00F20443">
        <w:rPr>
          <w:i/>
          <w:color w:val="FF0000"/>
        </w:rPr>
        <w:t xml:space="preserve">only in ODFM symbols </w:t>
      </w:r>
      <w:r w:rsidRPr="00F20443">
        <w:rPr>
          <w:i/>
        </w:rPr>
        <w:t>used for the PUSCH, and only if the procedure in [6, TS 38.214] indicates phase-tracking reference signals being used.</w:t>
      </w:r>
    </w:p>
    <w:p w14:paraId="56442D02" w14:textId="77777777" w:rsidR="001C3BD5" w:rsidRDefault="001C3BD5" w:rsidP="001C3BD5">
      <w:pPr>
        <w:rPr>
          <w:lang w:eastAsia="x-none"/>
        </w:rPr>
      </w:pPr>
      <w:r w:rsidRPr="00434FEA">
        <w:rPr>
          <w:b/>
          <w:lang w:eastAsia="x-none"/>
        </w:rPr>
        <w:t>Observation</w:t>
      </w:r>
      <w:r>
        <w:rPr>
          <w:lang w:eastAsia="x-none"/>
        </w:rPr>
        <w:t xml:space="preserve">: </w:t>
      </w:r>
      <w:r w:rsidRPr="00434FEA">
        <w:rPr>
          <w:i/>
          <w:lang w:eastAsia="x-none"/>
        </w:rPr>
        <w:t>Forbidding simultaneous PTRS and DMRS with TD-OCC configuration is not justified for L</w:t>
      </w:r>
      <w:r w:rsidRPr="00434FEA">
        <w:rPr>
          <w:i/>
          <w:vertAlign w:val="subscript"/>
          <w:lang w:eastAsia="x-none"/>
        </w:rPr>
        <w:t>PTRS</w:t>
      </w:r>
      <w:r w:rsidRPr="00434FEA">
        <w:rPr>
          <w:i/>
          <w:lang w:eastAsia="x-none"/>
        </w:rPr>
        <w:t>={2, 4} and should be limited to L</w:t>
      </w:r>
      <w:r w:rsidRPr="00434FEA">
        <w:rPr>
          <w:i/>
          <w:vertAlign w:val="subscript"/>
          <w:lang w:eastAsia="x-none"/>
        </w:rPr>
        <w:t>PTRS</w:t>
      </w:r>
      <w:r w:rsidRPr="00434FEA">
        <w:rPr>
          <w:i/>
          <w:lang w:eastAsia="x-none"/>
        </w:rPr>
        <w:t>=1</w:t>
      </w:r>
      <w:r>
        <w:rPr>
          <w:lang w:eastAsia="x-none"/>
        </w:rPr>
        <w:t>.</w:t>
      </w:r>
    </w:p>
    <w:p w14:paraId="5B0B4740" w14:textId="77777777" w:rsidR="00C023FC" w:rsidRDefault="00C023FC" w:rsidP="001C3BD5">
      <w:pPr>
        <w:rPr>
          <w:lang w:eastAsia="x-none"/>
        </w:rPr>
      </w:pPr>
      <w:bookmarkStart w:id="1" w:name="_GoBack"/>
      <w:bookmarkEnd w:id="1"/>
    </w:p>
    <w:p w14:paraId="5AB938DE" w14:textId="77777777" w:rsidR="00C023FC" w:rsidRDefault="00C023FC" w:rsidP="001C3BD5">
      <w:pPr>
        <w:rPr>
          <w:lang w:eastAsia="x-none"/>
        </w:rPr>
      </w:pPr>
    </w:p>
    <w:p w14:paraId="0C0CC133" w14:textId="77777777" w:rsidR="00F72CA6" w:rsidRDefault="00F72CA6" w:rsidP="0006356F">
      <w:pPr>
        <w:pBdr>
          <w:bottom w:val="single" w:sz="12" w:space="1" w:color="auto"/>
        </w:pBdr>
      </w:pPr>
    </w:p>
    <w:p w14:paraId="42424DAC" w14:textId="77777777" w:rsidR="00786845" w:rsidRPr="00F72CA6" w:rsidRDefault="00A04FE1" w:rsidP="00A81622">
      <w:pPr>
        <w:pStyle w:val="Titre1"/>
      </w:pPr>
      <w:r w:rsidRPr="00F72CA6">
        <w:t>R</w:t>
      </w:r>
      <w:r w:rsidR="00786845" w:rsidRPr="00F72CA6">
        <w:t>eferences</w:t>
      </w:r>
    </w:p>
    <w:p w14:paraId="06114F75" w14:textId="7F586AEA" w:rsidR="00F67E44" w:rsidRDefault="00F67E44" w:rsidP="00BC75E8">
      <w:pPr>
        <w:pStyle w:val="Titre3"/>
        <w:numPr>
          <w:ilvl w:val="0"/>
          <w:numId w:val="6"/>
        </w:numPr>
      </w:pPr>
      <w:bookmarkStart w:id="2" w:name="_Ref503468864"/>
      <w:bookmarkStart w:id="3" w:name="_Ref468983446"/>
      <w:bookmarkStart w:id="4" w:name="_Ref468982085"/>
      <w:bookmarkStart w:id="5" w:name="_Ref461457447"/>
      <w:bookmarkStart w:id="6" w:name="_Ref457744160"/>
      <w:r w:rsidRPr="000F778A">
        <w:t>Chairman’s note</w:t>
      </w:r>
      <w:r>
        <w:t>s, RAN1 #92, Athens, Greece, February 2018.</w:t>
      </w:r>
    </w:p>
    <w:p w14:paraId="4BA3DAAB" w14:textId="00E310D1" w:rsidR="009859C9" w:rsidRDefault="009859C9" w:rsidP="00BC75E8">
      <w:pPr>
        <w:pStyle w:val="Titre3"/>
        <w:numPr>
          <w:ilvl w:val="0"/>
          <w:numId w:val="6"/>
        </w:numPr>
      </w:pPr>
      <w:bookmarkStart w:id="7" w:name="_Ref510647144"/>
      <w:r w:rsidRPr="000F778A">
        <w:t>Chairman’s note</w:t>
      </w:r>
      <w:r>
        <w:t>s, RAN1</w:t>
      </w:r>
      <w:r w:rsidR="001A669C">
        <w:t xml:space="preserve"> NR AH #1801</w:t>
      </w:r>
      <w:r>
        <w:t xml:space="preserve">, </w:t>
      </w:r>
      <w:r w:rsidR="001A669C">
        <w:t>Vancouver, Canada, January 2018</w:t>
      </w:r>
      <w:r>
        <w:t>.</w:t>
      </w:r>
      <w:bookmarkEnd w:id="2"/>
      <w:bookmarkEnd w:id="7"/>
    </w:p>
    <w:p w14:paraId="08B4AD17" w14:textId="77777777" w:rsidR="00F67E44" w:rsidRDefault="00F67E44" w:rsidP="00F67E44">
      <w:pPr>
        <w:pStyle w:val="Titre3"/>
        <w:numPr>
          <w:ilvl w:val="0"/>
          <w:numId w:val="6"/>
        </w:numPr>
      </w:pPr>
      <w:bookmarkStart w:id="8" w:name="_Ref510646059"/>
      <w:bookmarkStart w:id="9" w:name="_Ref503286449"/>
      <w:r w:rsidRPr="00F67E44">
        <w:t>R1-1803552</w:t>
      </w:r>
      <w:r>
        <w:t xml:space="preserve"> </w:t>
      </w:r>
      <w:r w:rsidRPr="00F67E44">
        <w:t>CR to 38.211 capturing the Jan18 ad-hoc and RAN1#92 meeting agreements</w:t>
      </w:r>
      <w:r>
        <w:t>.</w:t>
      </w:r>
      <w:bookmarkEnd w:id="8"/>
    </w:p>
    <w:p w14:paraId="54C990FB" w14:textId="742E7CC8" w:rsidR="008506C2" w:rsidRDefault="00F67E44" w:rsidP="00A32548">
      <w:pPr>
        <w:pStyle w:val="Titre3"/>
        <w:numPr>
          <w:ilvl w:val="0"/>
          <w:numId w:val="6"/>
        </w:numPr>
      </w:pPr>
      <w:bookmarkStart w:id="10" w:name="_Ref510645963"/>
      <w:r w:rsidRPr="008E3B8C">
        <w:t>R1-1801291</w:t>
      </w:r>
      <w:r>
        <w:t xml:space="preserve"> </w:t>
      </w:r>
      <w:r w:rsidRPr="008E3B8C">
        <w:t>draftCR to 38.211 capturing the Jan18 ad-hoc meeting agreements</w:t>
      </w:r>
      <w:r w:rsidR="008506C2">
        <w:t>.</w:t>
      </w:r>
      <w:bookmarkEnd w:id="10"/>
    </w:p>
    <w:p w14:paraId="5CE7822D" w14:textId="5611F3CE" w:rsidR="00C845E8" w:rsidRDefault="00C845E8" w:rsidP="00C845E8">
      <w:pPr>
        <w:pStyle w:val="Titre3"/>
        <w:numPr>
          <w:ilvl w:val="0"/>
          <w:numId w:val="6"/>
        </w:numPr>
      </w:pPr>
      <w:bookmarkStart w:id="11" w:name="_Ref510647121"/>
      <w:bookmarkStart w:id="12" w:name="_Ref506494533"/>
      <w:r w:rsidRPr="00C845E8">
        <w:t>R1-1801106</w:t>
      </w:r>
      <w:r w:rsidRPr="00C845E8">
        <w:tab/>
        <w:t>WF on DFTsOFDM PT-RS remaining issues</w:t>
      </w:r>
      <w:r w:rsidRPr="00C845E8">
        <w:tab/>
        <w:t>Mitsubishi Electric, Samsung, Qualcomm, AT&amp;T, Ericsson, Interdigital, Nokia, NSB, IITH, IITM, CeWit, Tejas Networks, Reliance Jio, CATT, NTT DoCoMo, Sharp, Sony, Convida Wireless</w:t>
      </w:r>
      <w:bookmarkEnd w:id="11"/>
    </w:p>
    <w:p w14:paraId="27F33BD5" w14:textId="31398E94" w:rsidR="009859C9" w:rsidRDefault="008506C2" w:rsidP="008E3B8C">
      <w:pPr>
        <w:pStyle w:val="Titre3"/>
        <w:numPr>
          <w:ilvl w:val="0"/>
          <w:numId w:val="6"/>
        </w:numPr>
      </w:pPr>
      <w:r w:rsidRPr="000F778A">
        <w:t>Chairman’s note</w:t>
      </w:r>
      <w:r>
        <w:t>s, RAN1#91, Reno, NV, November 2017</w:t>
      </w:r>
      <w:r w:rsidR="009859C9">
        <w:t>.</w:t>
      </w:r>
      <w:bookmarkEnd w:id="9"/>
      <w:bookmarkEnd w:id="12"/>
    </w:p>
    <w:p w14:paraId="77F99A85" w14:textId="77777777" w:rsidR="004E35B8" w:rsidRDefault="00A518D1" w:rsidP="00BC75E8">
      <w:pPr>
        <w:pStyle w:val="Titre3"/>
        <w:numPr>
          <w:ilvl w:val="0"/>
          <w:numId w:val="6"/>
        </w:numPr>
      </w:pPr>
      <w:bookmarkStart w:id="13" w:name="_Ref510648878"/>
      <w:bookmarkStart w:id="14" w:name="_Ref503372459"/>
      <w:r w:rsidRPr="000F778A">
        <w:t>Chairman’s note</w:t>
      </w:r>
      <w:r>
        <w:t>s, RAN1#90b, Prague, Czech Republic, October 2017</w:t>
      </w:r>
      <w:r w:rsidR="004E35B8">
        <w:t>.</w:t>
      </w:r>
      <w:bookmarkEnd w:id="13"/>
    </w:p>
    <w:p w14:paraId="55789B84" w14:textId="77777777" w:rsidR="004E35B8" w:rsidRDefault="004E35B8" w:rsidP="004E35B8">
      <w:pPr>
        <w:pStyle w:val="Titre3"/>
        <w:numPr>
          <w:ilvl w:val="0"/>
          <w:numId w:val="6"/>
        </w:numPr>
      </w:pPr>
      <w:bookmarkStart w:id="15" w:name="_Ref503468434"/>
      <w:r w:rsidRPr="004E35B8">
        <w:rPr>
          <w:lang w:eastAsia="x-none"/>
        </w:rPr>
        <w:t>R1-1719440</w:t>
      </w:r>
      <w:r>
        <w:rPr>
          <w:lang w:eastAsia="x-none"/>
        </w:rPr>
        <w:t xml:space="preserve">, </w:t>
      </w:r>
      <w:r w:rsidRPr="004E35B8">
        <w:rPr>
          <w:lang w:eastAsia="x-none"/>
        </w:rPr>
        <w:t>Remaining issues of PTRS</w:t>
      </w:r>
      <w:r>
        <w:rPr>
          <w:lang w:eastAsia="x-none"/>
        </w:rPr>
        <w:t xml:space="preserve">, Huawei, HiSilicon, </w:t>
      </w:r>
      <w:r>
        <w:t>Reno, NV, USA, November 2017.</w:t>
      </w:r>
      <w:bookmarkEnd w:id="15"/>
    </w:p>
    <w:bookmarkEnd w:id="3"/>
    <w:bookmarkEnd w:id="4"/>
    <w:bookmarkEnd w:id="5"/>
    <w:bookmarkEnd w:id="6"/>
    <w:bookmarkEnd w:id="14"/>
    <w:p w14:paraId="5D764D6A" w14:textId="77777777" w:rsidR="00667A2A" w:rsidRPr="00667A2A" w:rsidRDefault="00667A2A" w:rsidP="00667A2A"/>
    <w:sectPr w:rsidR="00667A2A" w:rsidRPr="00667A2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0DF0F" w14:textId="77777777" w:rsidR="008F6FAD" w:rsidRDefault="008F6FAD" w:rsidP="00A81622">
      <w:r>
        <w:separator/>
      </w:r>
    </w:p>
  </w:endnote>
  <w:endnote w:type="continuationSeparator" w:id="0">
    <w:p w14:paraId="69193F16" w14:textId="77777777" w:rsidR="008F6FAD" w:rsidRDefault="008F6FAD" w:rsidP="00A81622">
      <w:r>
        <w:continuationSeparator/>
      </w:r>
    </w:p>
  </w:endnote>
  <w:endnote w:type="continuationNotice" w:id="1">
    <w:p w14:paraId="7FC39AB3" w14:textId="77777777" w:rsidR="008F6FAD" w:rsidRDefault="008F6FA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B5F09" w14:textId="77777777" w:rsidR="008F6FAD" w:rsidRDefault="008F6FAD" w:rsidP="00A81622">
      <w:r>
        <w:separator/>
      </w:r>
    </w:p>
  </w:footnote>
  <w:footnote w:type="continuationSeparator" w:id="0">
    <w:p w14:paraId="6FF0112D" w14:textId="77777777" w:rsidR="008F6FAD" w:rsidRDefault="008F6FAD" w:rsidP="00A81622">
      <w:r>
        <w:continuationSeparator/>
      </w:r>
    </w:p>
  </w:footnote>
  <w:footnote w:type="continuationNotice" w:id="1">
    <w:p w14:paraId="2A8D0003" w14:textId="77777777" w:rsidR="008F6FAD" w:rsidRDefault="008F6FAD"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11"/>
  </w:num>
  <w:num w:numId="6">
    <w:abstractNumId w:val="3"/>
  </w:num>
  <w:num w:numId="7">
    <w:abstractNumId w:val="1"/>
  </w:num>
  <w:num w:numId="8">
    <w:abstractNumId w:val="10"/>
  </w:num>
  <w:num w:numId="9">
    <w:abstractNumId w:val="6"/>
  </w:num>
  <w:num w:numId="10">
    <w:abstractNumId w:val="2"/>
  </w:num>
  <w:num w:numId="11">
    <w:abstractNumId w:val="5"/>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2A36"/>
    <w:rsid w:val="00002B69"/>
    <w:rsid w:val="00002C19"/>
    <w:rsid w:val="000037E3"/>
    <w:rsid w:val="00004317"/>
    <w:rsid w:val="000045E6"/>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6137"/>
    <w:rsid w:val="00066412"/>
    <w:rsid w:val="000664E2"/>
    <w:rsid w:val="000667E8"/>
    <w:rsid w:val="00066EDE"/>
    <w:rsid w:val="00066F5C"/>
    <w:rsid w:val="0006727D"/>
    <w:rsid w:val="00067425"/>
    <w:rsid w:val="00067554"/>
    <w:rsid w:val="00067D7E"/>
    <w:rsid w:val="00070031"/>
    <w:rsid w:val="0007063E"/>
    <w:rsid w:val="000709EE"/>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F45"/>
    <w:rsid w:val="00103100"/>
    <w:rsid w:val="00103418"/>
    <w:rsid w:val="0010381B"/>
    <w:rsid w:val="00103BA8"/>
    <w:rsid w:val="00103FCF"/>
    <w:rsid w:val="00104DEB"/>
    <w:rsid w:val="00105152"/>
    <w:rsid w:val="00105249"/>
    <w:rsid w:val="001059C9"/>
    <w:rsid w:val="0010654C"/>
    <w:rsid w:val="0010695E"/>
    <w:rsid w:val="00106D3C"/>
    <w:rsid w:val="001071AD"/>
    <w:rsid w:val="00110921"/>
    <w:rsid w:val="00110AD2"/>
    <w:rsid w:val="0011341E"/>
    <w:rsid w:val="001135F3"/>
    <w:rsid w:val="00113AE9"/>
    <w:rsid w:val="001142B1"/>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7178"/>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416"/>
    <w:rsid w:val="001D075E"/>
    <w:rsid w:val="001D1263"/>
    <w:rsid w:val="001D19EB"/>
    <w:rsid w:val="001D1A08"/>
    <w:rsid w:val="001D2AFB"/>
    <w:rsid w:val="001D2B0B"/>
    <w:rsid w:val="001D2D51"/>
    <w:rsid w:val="001D3669"/>
    <w:rsid w:val="001D3A8B"/>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F2"/>
    <w:rsid w:val="00226C40"/>
    <w:rsid w:val="00226CCE"/>
    <w:rsid w:val="002315F6"/>
    <w:rsid w:val="0023180F"/>
    <w:rsid w:val="00231C51"/>
    <w:rsid w:val="002334A2"/>
    <w:rsid w:val="00233B5E"/>
    <w:rsid w:val="00233F56"/>
    <w:rsid w:val="00236203"/>
    <w:rsid w:val="002362CF"/>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4D4E"/>
    <w:rsid w:val="00265552"/>
    <w:rsid w:val="002661D3"/>
    <w:rsid w:val="002662D1"/>
    <w:rsid w:val="002669CC"/>
    <w:rsid w:val="00266C02"/>
    <w:rsid w:val="00266FF3"/>
    <w:rsid w:val="002679F2"/>
    <w:rsid w:val="00267C21"/>
    <w:rsid w:val="002704C3"/>
    <w:rsid w:val="00270CD5"/>
    <w:rsid w:val="00272C97"/>
    <w:rsid w:val="002735F6"/>
    <w:rsid w:val="0027399D"/>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4DCE"/>
    <w:rsid w:val="00296A66"/>
    <w:rsid w:val="00297085"/>
    <w:rsid w:val="002970DC"/>
    <w:rsid w:val="002973AA"/>
    <w:rsid w:val="00297E67"/>
    <w:rsid w:val="002A0831"/>
    <w:rsid w:val="002A0F02"/>
    <w:rsid w:val="002A1981"/>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8CD"/>
    <w:rsid w:val="00312552"/>
    <w:rsid w:val="00313186"/>
    <w:rsid w:val="003157C2"/>
    <w:rsid w:val="00315BE7"/>
    <w:rsid w:val="00315D0F"/>
    <w:rsid w:val="003162B8"/>
    <w:rsid w:val="00316916"/>
    <w:rsid w:val="00317370"/>
    <w:rsid w:val="00317591"/>
    <w:rsid w:val="003176D4"/>
    <w:rsid w:val="00320454"/>
    <w:rsid w:val="003216DB"/>
    <w:rsid w:val="00322C32"/>
    <w:rsid w:val="00322D25"/>
    <w:rsid w:val="00323515"/>
    <w:rsid w:val="00324558"/>
    <w:rsid w:val="003248FE"/>
    <w:rsid w:val="00324E52"/>
    <w:rsid w:val="0032500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3533"/>
    <w:rsid w:val="00373712"/>
    <w:rsid w:val="003742D4"/>
    <w:rsid w:val="00380282"/>
    <w:rsid w:val="0038095B"/>
    <w:rsid w:val="00381972"/>
    <w:rsid w:val="00383988"/>
    <w:rsid w:val="00384371"/>
    <w:rsid w:val="0038518C"/>
    <w:rsid w:val="003864EE"/>
    <w:rsid w:val="00386671"/>
    <w:rsid w:val="0038667E"/>
    <w:rsid w:val="00387D15"/>
    <w:rsid w:val="00390021"/>
    <w:rsid w:val="00390321"/>
    <w:rsid w:val="00391B10"/>
    <w:rsid w:val="00392281"/>
    <w:rsid w:val="00392293"/>
    <w:rsid w:val="00392CB1"/>
    <w:rsid w:val="0039322E"/>
    <w:rsid w:val="00394129"/>
    <w:rsid w:val="00394CEB"/>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808"/>
    <w:rsid w:val="003C7AD3"/>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CD7"/>
    <w:rsid w:val="00407E54"/>
    <w:rsid w:val="00407EC6"/>
    <w:rsid w:val="00410059"/>
    <w:rsid w:val="00410A77"/>
    <w:rsid w:val="004111C8"/>
    <w:rsid w:val="00411503"/>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FF5"/>
    <w:rsid w:val="004732B3"/>
    <w:rsid w:val="004741AA"/>
    <w:rsid w:val="0047530C"/>
    <w:rsid w:val="00475344"/>
    <w:rsid w:val="00475C01"/>
    <w:rsid w:val="004761DA"/>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B020F"/>
    <w:rsid w:val="004B0639"/>
    <w:rsid w:val="004B0A6C"/>
    <w:rsid w:val="004B1B50"/>
    <w:rsid w:val="004B1DC8"/>
    <w:rsid w:val="004B36C5"/>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72AC"/>
    <w:rsid w:val="00510E38"/>
    <w:rsid w:val="00511430"/>
    <w:rsid w:val="005117EB"/>
    <w:rsid w:val="00512C1F"/>
    <w:rsid w:val="00512F1A"/>
    <w:rsid w:val="0051331F"/>
    <w:rsid w:val="00513479"/>
    <w:rsid w:val="005135F0"/>
    <w:rsid w:val="00513C78"/>
    <w:rsid w:val="00514569"/>
    <w:rsid w:val="005149A8"/>
    <w:rsid w:val="00514D59"/>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B36"/>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6B7"/>
    <w:rsid w:val="006B471A"/>
    <w:rsid w:val="006B62EC"/>
    <w:rsid w:val="006B79D9"/>
    <w:rsid w:val="006C1C5D"/>
    <w:rsid w:val="006C5DE7"/>
    <w:rsid w:val="006C68CE"/>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2EEB"/>
    <w:rsid w:val="007130BB"/>
    <w:rsid w:val="00714287"/>
    <w:rsid w:val="00714CF6"/>
    <w:rsid w:val="00715217"/>
    <w:rsid w:val="007166AF"/>
    <w:rsid w:val="00717DA8"/>
    <w:rsid w:val="007204A1"/>
    <w:rsid w:val="00720AEE"/>
    <w:rsid w:val="00720C36"/>
    <w:rsid w:val="00721530"/>
    <w:rsid w:val="00721549"/>
    <w:rsid w:val="007219AF"/>
    <w:rsid w:val="007219E1"/>
    <w:rsid w:val="00722400"/>
    <w:rsid w:val="00722696"/>
    <w:rsid w:val="007229AB"/>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E47"/>
    <w:rsid w:val="007600E1"/>
    <w:rsid w:val="0076056A"/>
    <w:rsid w:val="00760DA0"/>
    <w:rsid w:val="007623D4"/>
    <w:rsid w:val="007626DE"/>
    <w:rsid w:val="007629D7"/>
    <w:rsid w:val="00763E34"/>
    <w:rsid w:val="0076482F"/>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2C4D"/>
    <w:rsid w:val="007C30B2"/>
    <w:rsid w:val="007C33AA"/>
    <w:rsid w:val="007C37E1"/>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1402"/>
    <w:rsid w:val="00891A1A"/>
    <w:rsid w:val="00891F29"/>
    <w:rsid w:val="008934A8"/>
    <w:rsid w:val="008938DF"/>
    <w:rsid w:val="00893AEA"/>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3A6B"/>
    <w:rsid w:val="008B3C22"/>
    <w:rsid w:val="008B4255"/>
    <w:rsid w:val="008B49E0"/>
    <w:rsid w:val="008B4A2A"/>
    <w:rsid w:val="008B6034"/>
    <w:rsid w:val="008B690E"/>
    <w:rsid w:val="008B73A5"/>
    <w:rsid w:val="008B7CBC"/>
    <w:rsid w:val="008B7E7D"/>
    <w:rsid w:val="008C0284"/>
    <w:rsid w:val="008C1906"/>
    <w:rsid w:val="008C1935"/>
    <w:rsid w:val="008C19D6"/>
    <w:rsid w:val="008C1BCC"/>
    <w:rsid w:val="008C1C6B"/>
    <w:rsid w:val="008C239B"/>
    <w:rsid w:val="008C2740"/>
    <w:rsid w:val="008C3ACC"/>
    <w:rsid w:val="008C3DF9"/>
    <w:rsid w:val="008C5890"/>
    <w:rsid w:val="008C75E3"/>
    <w:rsid w:val="008C7DE7"/>
    <w:rsid w:val="008D02CE"/>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A50"/>
    <w:rsid w:val="00915E96"/>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7569D"/>
    <w:rsid w:val="00976AD9"/>
    <w:rsid w:val="00980D66"/>
    <w:rsid w:val="0098123E"/>
    <w:rsid w:val="0098154E"/>
    <w:rsid w:val="00981B16"/>
    <w:rsid w:val="009837D3"/>
    <w:rsid w:val="009849B5"/>
    <w:rsid w:val="00985096"/>
    <w:rsid w:val="009859C9"/>
    <w:rsid w:val="009862EC"/>
    <w:rsid w:val="0098677F"/>
    <w:rsid w:val="00986B13"/>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6136"/>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E9C"/>
    <w:rsid w:val="009D2859"/>
    <w:rsid w:val="009D2EED"/>
    <w:rsid w:val="009D398B"/>
    <w:rsid w:val="009D5D3F"/>
    <w:rsid w:val="009D69B5"/>
    <w:rsid w:val="009D784F"/>
    <w:rsid w:val="009E07E4"/>
    <w:rsid w:val="009E1648"/>
    <w:rsid w:val="009E270D"/>
    <w:rsid w:val="009E2D9D"/>
    <w:rsid w:val="009E2F47"/>
    <w:rsid w:val="009E2FA4"/>
    <w:rsid w:val="009E38EC"/>
    <w:rsid w:val="009E39E6"/>
    <w:rsid w:val="009E3F67"/>
    <w:rsid w:val="009E4CA7"/>
    <w:rsid w:val="009E4CC4"/>
    <w:rsid w:val="009E5ABB"/>
    <w:rsid w:val="009E658C"/>
    <w:rsid w:val="009E678F"/>
    <w:rsid w:val="009E6E66"/>
    <w:rsid w:val="009E6F2B"/>
    <w:rsid w:val="009E70BC"/>
    <w:rsid w:val="009E7D84"/>
    <w:rsid w:val="009F0513"/>
    <w:rsid w:val="009F06E6"/>
    <w:rsid w:val="009F1DCD"/>
    <w:rsid w:val="009F2C42"/>
    <w:rsid w:val="009F3ABB"/>
    <w:rsid w:val="009F3BAC"/>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7CB"/>
    <w:rsid w:val="00A24822"/>
    <w:rsid w:val="00A25778"/>
    <w:rsid w:val="00A25E84"/>
    <w:rsid w:val="00A26643"/>
    <w:rsid w:val="00A26D1D"/>
    <w:rsid w:val="00A2712C"/>
    <w:rsid w:val="00A2780A"/>
    <w:rsid w:val="00A27D98"/>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4D8"/>
    <w:rsid w:val="00A91B09"/>
    <w:rsid w:val="00A92085"/>
    <w:rsid w:val="00A920F9"/>
    <w:rsid w:val="00A93246"/>
    <w:rsid w:val="00A935E3"/>
    <w:rsid w:val="00A93786"/>
    <w:rsid w:val="00A94F16"/>
    <w:rsid w:val="00A94FBF"/>
    <w:rsid w:val="00A95234"/>
    <w:rsid w:val="00A97EAC"/>
    <w:rsid w:val="00AA0229"/>
    <w:rsid w:val="00AA07F0"/>
    <w:rsid w:val="00AA188C"/>
    <w:rsid w:val="00AA1DB1"/>
    <w:rsid w:val="00AA1DC1"/>
    <w:rsid w:val="00AA1E6D"/>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6FA0"/>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50BF"/>
    <w:rsid w:val="00B0616E"/>
    <w:rsid w:val="00B06EC3"/>
    <w:rsid w:val="00B07339"/>
    <w:rsid w:val="00B0743B"/>
    <w:rsid w:val="00B1072C"/>
    <w:rsid w:val="00B1108C"/>
    <w:rsid w:val="00B112AA"/>
    <w:rsid w:val="00B1174B"/>
    <w:rsid w:val="00B11ADD"/>
    <w:rsid w:val="00B12278"/>
    <w:rsid w:val="00B130FA"/>
    <w:rsid w:val="00B13DD2"/>
    <w:rsid w:val="00B14A8C"/>
    <w:rsid w:val="00B171C1"/>
    <w:rsid w:val="00B1736B"/>
    <w:rsid w:val="00B17DD0"/>
    <w:rsid w:val="00B2017F"/>
    <w:rsid w:val="00B203AB"/>
    <w:rsid w:val="00B20903"/>
    <w:rsid w:val="00B20CE7"/>
    <w:rsid w:val="00B21231"/>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BF7F71"/>
    <w:rsid w:val="00C00159"/>
    <w:rsid w:val="00C00461"/>
    <w:rsid w:val="00C006C7"/>
    <w:rsid w:val="00C00C54"/>
    <w:rsid w:val="00C00DA7"/>
    <w:rsid w:val="00C023FC"/>
    <w:rsid w:val="00C02810"/>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653"/>
    <w:rsid w:val="00C3656E"/>
    <w:rsid w:val="00C369B9"/>
    <w:rsid w:val="00C37AF1"/>
    <w:rsid w:val="00C416E2"/>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70F15"/>
    <w:rsid w:val="00C71141"/>
    <w:rsid w:val="00C71444"/>
    <w:rsid w:val="00C716A3"/>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4E8B"/>
    <w:rsid w:val="00D85BC9"/>
    <w:rsid w:val="00D86E1B"/>
    <w:rsid w:val="00D86E83"/>
    <w:rsid w:val="00D877AB"/>
    <w:rsid w:val="00D90526"/>
    <w:rsid w:val="00D90662"/>
    <w:rsid w:val="00D90CA8"/>
    <w:rsid w:val="00D91667"/>
    <w:rsid w:val="00D93D5A"/>
    <w:rsid w:val="00D95216"/>
    <w:rsid w:val="00D9595E"/>
    <w:rsid w:val="00D95D3B"/>
    <w:rsid w:val="00D9636A"/>
    <w:rsid w:val="00D96F81"/>
    <w:rsid w:val="00DA0532"/>
    <w:rsid w:val="00DA059A"/>
    <w:rsid w:val="00DA069F"/>
    <w:rsid w:val="00DA173F"/>
    <w:rsid w:val="00DA1D4E"/>
    <w:rsid w:val="00DA2616"/>
    <w:rsid w:val="00DA2679"/>
    <w:rsid w:val="00DA3312"/>
    <w:rsid w:val="00DA3AE9"/>
    <w:rsid w:val="00DA3FFC"/>
    <w:rsid w:val="00DA465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927"/>
    <w:rsid w:val="00E10E26"/>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4F02"/>
    <w:rsid w:val="00E25B05"/>
    <w:rsid w:val="00E27B9D"/>
    <w:rsid w:val="00E27E9C"/>
    <w:rsid w:val="00E309C2"/>
    <w:rsid w:val="00E30CCB"/>
    <w:rsid w:val="00E3383C"/>
    <w:rsid w:val="00E33D2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A08"/>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062"/>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D82"/>
    <w:rsid w:val="00ED396A"/>
    <w:rsid w:val="00ED4A2C"/>
    <w:rsid w:val="00ED4F1D"/>
    <w:rsid w:val="00ED500A"/>
    <w:rsid w:val="00ED518F"/>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20443"/>
    <w:rsid w:val="00F20934"/>
    <w:rsid w:val="00F215D6"/>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A64"/>
    <w:rsid w:val="00F33A94"/>
    <w:rsid w:val="00F33F83"/>
    <w:rsid w:val="00F34CD1"/>
    <w:rsid w:val="00F34D62"/>
    <w:rsid w:val="00F35CB2"/>
    <w:rsid w:val="00F36A8F"/>
    <w:rsid w:val="00F3704B"/>
    <w:rsid w:val="00F3711D"/>
    <w:rsid w:val="00F37430"/>
    <w:rsid w:val="00F379D1"/>
    <w:rsid w:val="00F4043D"/>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318A"/>
    <w:rsid w:val="00FB34E8"/>
    <w:rsid w:val="00FB3EC3"/>
    <w:rsid w:val="00FB5BE3"/>
    <w:rsid w:val="00FB6C23"/>
    <w:rsid w:val="00FB6E21"/>
    <w:rsid w:val="00FB6FDD"/>
    <w:rsid w:val="00FB7D50"/>
    <w:rsid w:val="00FB7EDD"/>
    <w:rsid w:val="00FC0A2B"/>
    <w:rsid w:val="00FC11AD"/>
    <w:rsid w:val="00FC161C"/>
    <w:rsid w:val="00FC1A91"/>
    <w:rsid w:val="00FC1FD8"/>
    <w:rsid w:val="00FC2275"/>
    <w:rsid w:val="00FC307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F026B"/>
    <w:rsid w:val="00FF0653"/>
    <w:rsid w:val="00FF0B79"/>
    <w:rsid w:val="00FF19AC"/>
    <w:rsid w:val="00FF1D59"/>
    <w:rsid w:val="00FF2CCD"/>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39E83118"/>
  <w15:docId w15:val="{FB8FB1AC-5892-495A-8A12-E807D0A27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link w:val="Titre3Car"/>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link w:val="B10"/>
    <w:uiPriority w:val="99"/>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uiPriority w:val="99"/>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F67E44"/>
    <w:rPr>
      <w:rFonts w:ascii="Arial" w:eastAsia="MS Gothic"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21.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6.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7.bin"/><Relationship Id="rId43"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5EC6743-D78A-4828-A97B-A04BE86F7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4</Pages>
  <Words>1362</Words>
  <Characters>7493</Characters>
  <Application>Microsoft Office Word</Application>
  <DocSecurity>0</DocSecurity>
  <Lines>62</Lines>
  <Paragraphs>17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30</cp:revision>
  <cp:lastPrinted>2016-08-10T06:06:00Z</cp:lastPrinted>
  <dcterms:created xsi:type="dcterms:W3CDTF">2018-02-14T17:53:00Z</dcterms:created>
  <dcterms:modified xsi:type="dcterms:W3CDTF">2018-04-05T13:02:00Z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